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9"/>
        <w:ind w:left="4165" w:right="2222"/>
      </w:pPr>
      <w:r>
        <w:rPr/>
        <w:t>Senate</w:t>
      </w:r>
      <w:r>
        <w:rPr>
          <w:spacing w:val="-15"/>
        </w:rPr>
        <w:t> </w:t>
      </w:r>
      <w:r>
        <w:rPr/>
        <w:t>University</w:t>
      </w:r>
      <w:r>
        <w:rPr>
          <w:spacing w:val="-15"/>
        </w:rPr>
        <w:t> </w:t>
      </w:r>
      <w:r>
        <w:rPr/>
        <w:t>Assessment</w:t>
      </w:r>
      <w:r>
        <w:rPr>
          <w:spacing w:val="-15"/>
        </w:rPr>
        <w:t> </w:t>
      </w:r>
      <w:r>
        <w:rPr/>
        <w:t>Committee Annual Report for</w:t>
      </w:r>
    </w:p>
    <w:p>
      <w:pPr>
        <w:spacing w:before="0"/>
        <w:ind w:left="3723" w:right="0" w:firstLine="0"/>
        <w:jc w:val="left"/>
        <w:rPr>
          <w:b/>
          <w:sz w:val="24"/>
        </w:rPr>
      </w:pPr>
      <w:r>
        <w:rPr>
          <w:b/>
          <w:sz w:val="24"/>
        </w:rPr>
        <w:t>Academic</w:t>
      </w:r>
      <w:r>
        <w:rPr>
          <w:b/>
          <w:spacing w:val="-2"/>
          <w:sz w:val="24"/>
        </w:rPr>
        <w:t> </w:t>
      </w:r>
      <w:r>
        <w:rPr>
          <w:b/>
          <w:sz w:val="24"/>
        </w:rPr>
        <w:t>Year</w:t>
      </w:r>
      <w:r>
        <w:rPr>
          <w:b/>
          <w:spacing w:val="-7"/>
          <w:sz w:val="24"/>
        </w:rPr>
        <w:t> </w:t>
      </w:r>
      <w:r>
        <w:rPr>
          <w:b/>
          <w:sz w:val="24"/>
        </w:rPr>
        <w:t>2020-</w:t>
      </w:r>
      <w:r>
        <w:rPr>
          <w:b/>
          <w:spacing w:val="-4"/>
          <w:sz w:val="24"/>
        </w:rPr>
        <w:t>2021</w:t>
      </w:r>
    </w:p>
    <w:p>
      <w:pPr>
        <w:pStyle w:val="BodyText"/>
        <w:rPr>
          <w:b/>
          <w:i w:val="0"/>
        </w:rPr>
      </w:pPr>
    </w:p>
    <w:p>
      <w:pPr>
        <w:spacing w:before="0"/>
        <w:ind w:left="107" w:right="0" w:firstLine="0"/>
        <w:jc w:val="left"/>
        <w:rPr>
          <w:sz w:val="24"/>
        </w:rPr>
      </w:pPr>
      <w:r>
        <w:rPr>
          <w:sz w:val="24"/>
        </w:rPr>
        <w:t>The</w:t>
      </w:r>
      <w:r>
        <w:rPr>
          <w:spacing w:val="-9"/>
          <w:sz w:val="24"/>
        </w:rPr>
        <w:t> </w:t>
      </w:r>
      <w:r>
        <w:rPr>
          <w:sz w:val="24"/>
        </w:rPr>
        <w:t>Senate</w:t>
      </w:r>
      <w:r>
        <w:rPr>
          <w:spacing w:val="-4"/>
          <w:sz w:val="24"/>
        </w:rPr>
        <w:t> </w:t>
      </w:r>
      <w:r>
        <w:rPr>
          <w:sz w:val="24"/>
        </w:rPr>
        <w:t>University</w:t>
      </w:r>
      <w:r>
        <w:rPr>
          <w:spacing w:val="-8"/>
          <w:sz w:val="24"/>
        </w:rPr>
        <w:t> </w:t>
      </w:r>
      <w:r>
        <w:rPr>
          <w:sz w:val="24"/>
        </w:rPr>
        <w:t>Assessment</w:t>
      </w:r>
      <w:r>
        <w:rPr>
          <w:spacing w:val="-3"/>
          <w:sz w:val="24"/>
        </w:rPr>
        <w:t> </w:t>
      </w:r>
      <w:r>
        <w:rPr>
          <w:sz w:val="24"/>
        </w:rPr>
        <w:t>Committee</w:t>
      </w:r>
      <w:r>
        <w:rPr>
          <w:spacing w:val="-8"/>
          <w:sz w:val="24"/>
        </w:rPr>
        <w:t> </w:t>
      </w:r>
      <w:r>
        <w:rPr>
          <w:sz w:val="24"/>
        </w:rPr>
        <w:t>(UAC)</w:t>
      </w:r>
      <w:r>
        <w:rPr>
          <w:spacing w:val="-9"/>
          <w:sz w:val="24"/>
        </w:rPr>
        <w:t> </w:t>
      </w:r>
      <w:r>
        <w:rPr>
          <w:sz w:val="24"/>
        </w:rPr>
        <w:t>provides</w:t>
      </w:r>
      <w:r>
        <w:rPr>
          <w:spacing w:val="-5"/>
          <w:sz w:val="24"/>
        </w:rPr>
        <w:t> </w:t>
      </w:r>
      <w:r>
        <w:rPr>
          <w:sz w:val="24"/>
        </w:rPr>
        <w:t>faculty</w:t>
      </w:r>
      <w:r>
        <w:rPr>
          <w:spacing w:val="-8"/>
          <w:sz w:val="24"/>
        </w:rPr>
        <w:t> </w:t>
      </w:r>
      <w:r>
        <w:rPr>
          <w:sz w:val="24"/>
        </w:rPr>
        <w:t>guidance</w:t>
      </w:r>
      <w:r>
        <w:rPr>
          <w:spacing w:val="-4"/>
          <w:sz w:val="24"/>
        </w:rPr>
        <w:t> </w:t>
      </w:r>
      <w:r>
        <w:rPr>
          <w:sz w:val="24"/>
        </w:rPr>
        <w:t>and</w:t>
      </w:r>
      <w:r>
        <w:rPr>
          <w:spacing w:val="-6"/>
          <w:sz w:val="24"/>
        </w:rPr>
        <w:t> </w:t>
      </w:r>
      <w:r>
        <w:rPr>
          <w:sz w:val="24"/>
        </w:rPr>
        <w:t>oversight</w:t>
      </w:r>
      <w:r>
        <w:rPr>
          <w:spacing w:val="-7"/>
          <w:sz w:val="24"/>
        </w:rPr>
        <w:t> </w:t>
      </w:r>
      <w:r>
        <w:rPr>
          <w:sz w:val="24"/>
        </w:rPr>
        <w:t>to</w:t>
      </w:r>
      <w:r>
        <w:rPr>
          <w:spacing w:val="-8"/>
          <w:sz w:val="24"/>
        </w:rPr>
        <w:t> </w:t>
      </w:r>
      <w:r>
        <w:rPr>
          <w:sz w:val="24"/>
        </w:rPr>
        <w:t>the Office of the Vice President of Academic Affairs and Provost in developing and implementing the University Assessment</w:t>
      </w:r>
      <w:r>
        <w:rPr>
          <w:spacing w:val="-28"/>
          <w:sz w:val="24"/>
        </w:rPr>
        <w:t> </w:t>
      </w:r>
      <w:r>
        <w:rPr>
          <w:sz w:val="24"/>
        </w:rPr>
        <w:t>Plan. In addition, the committee analyzes and interprets assessment results, generates appropriate reports,</w:t>
      </w:r>
      <w:r>
        <w:rPr>
          <w:spacing w:val="-12"/>
          <w:sz w:val="24"/>
        </w:rPr>
        <w:t> </w:t>
      </w:r>
      <w:r>
        <w:rPr>
          <w:sz w:val="24"/>
        </w:rPr>
        <w:t>and disseminates assessment results to the Office</w:t>
      </w:r>
      <w:r>
        <w:rPr>
          <w:spacing w:val="-1"/>
          <w:sz w:val="24"/>
        </w:rPr>
        <w:t> </w:t>
      </w:r>
      <w:r>
        <w:rPr>
          <w:sz w:val="24"/>
        </w:rPr>
        <w:t>of Vice President of Academic Affairs and Provost, the</w:t>
      </w:r>
      <w:r>
        <w:rPr>
          <w:spacing w:val="-14"/>
          <w:sz w:val="24"/>
        </w:rPr>
        <w:t> </w:t>
      </w:r>
      <w:r>
        <w:rPr>
          <w:sz w:val="24"/>
        </w:rPr>
        <w:t>University Senate, and the community.</w:t>
      </w:r>
    </w:p>
    <w:p>
      <w:pPr>
        <w:pStyle w:val="BodyText"/>
        <w:rPr>
          <w:i w:val="0"/>
        </w:rPr>
      </w:pPr>
    </w:p>
    <w:p>
      <w:pPr>
        <w:spacing w:before="0"/>
        <w:ind w:left="107" w:right="115" w:firstLine="0"/>
        <w:jc w:val="left"/>
        <w:rPr>
          <w:sz w:val="24"/>
        </w:rPr>
      </w:pPr>
      <w:r>
        <w:rPr>
          <w:sz w:val="24"/>
        </w:rPr>
        <w:t>The University Assessment Committee was able to accomplish the tasks and responsibilities charged to it by the University Senate, in part due to the support provided by the Director of Assessment and Accreditation,</w:t>
      </w:r>
      <w:r>
        <w:rPr>
          <w:spacing w:val="-3"/>
          <w:sz w:val="24"/>
        </w:rPr>
        <w:t> </w:t>
      </w:r>
      <w:r>
        <w:rPr>
          <w:sz w:val="24"/>
        </w:rPr>
        <w:t>Dr.</w:t>
      </w:r>
      <w:r>
        <w:rPr>
          <w:spacing w:val="-3"/>
          <w:sz w:val="24"/>
        </w:rPr>
        <w:t> </w:t>
      </w:r>
      <w:r>
        <w:rPr>
          <w:sz w:val="24"/>
        </w:rPr>
        <w:t>Tim</w:t>
      </w:r>
      <w:r>
        <w:rPr>
          <w:spacing w:val="-3"/>
          <w:sz w:val="24"/>
        </w:rPr>
        <w:t> </w:t>
      </w:r>
      <w:r>
        <w:rPr>
          <w:sz w:val="24"/>
        </w:rPr>
        <w:t>Burrows.</w:t>
      </w:r>
      <w:r>
        <w:rPr>
          <w:spacing w:val="-1"/>
          <w:sz w:val="24"/>
        </w:rPr>
        <w:t> </w:t>
      </w:r>
      <w:r>
        <w:rPr>
          <w:sz w:val="24"/>
        </w:rPr>
        <w:t>The</w:t>
      </w:r>
      <w:r>
        <w:rPr>
          <w:spacing w:val="-5"/>
          <w:sz w:val="24"/>
        </w:rPr>
        <w:t> </w:t>
      </w:r>
      <w:r>
        <w:rPr>
          <w:sz w:val="24"/>
        </w:rPr>
        <w:t>Committee</w:t>
      </w:r>
      <w:r>
        <w:rPr>
          <w:spacing w:val="-5"/>
          <w:sz w:val="24"/>
        </w:rPr>
        <w:t> </w:t>
      </w:r>
      <w:r>
        <w:rPr>
          <w:sz w:val="24"/>
        </w:rPr>
        <w:t>is</w:t>
      </w:r>
      <w:r>
        <w:rPr>
          <w:spacing w:val="-3"/>
          <w:sz w:val="24"/>
        </w:rPr>
        <w:t> </w:t>
      </w:r>
      <w:r>
        <w:rPr>
          <w:sz w:val="24"/>
        </w:rPr>
        <w:t>appreciative</w:t>
      </w:r>
      <w:r>
        <w:rPr>
          <w:spacing w:val="-4"/>
          <w:sz w:val="24"/>
        </w:rPr>
        <w:t> </w:t>
      </w:r>
      <w:r>
        <w:rPr>
          <w:sz w:val="24"/>
        </w:rPr>
        <w:t>of</w:t>
      </w:r>
      <w:r>
        <w:rPr>
          <w:spacing w:val="-3"/>
          <w:sz w:val="24"/>
        </w:rPr>
        <w:t> </w:t>
      </w:r>
      <w:r>
        <w:rPr>
          <w:sz w:val="24"/>
        </w:rPr>
        <w:t>the</w:t>
      </w:r>
      <w:r>
        <w:rPr>
          <w:spacing w:val="-5"/>
          <w:sz w:val="24"/>
        </w:rPr>
        <w:t> </w:t>
      </w:r>
      <w:r>
        <w:rPr>
          <w:sz w:val="24"/>
        </w:rPr>
        <w:t>support</w:t>
      </w:r>
      <w:r>
        <w:rPr>
          <w:spacing w:val="-3"/>
          <w:sz w:val="24"/>
        </w:rPr>
        <w:t> </w:t>
      </w:r>
      <w:r>
        <w:rPr>
          <w:sz w:val="24"/>
        </w:rPr>
        <w:t>and</w:t>
      </w:r>
      <w:r>
        <w:rPr>
          <w:spacing w:val="-3"/>
          <w:sz w:val="24"/>
        </w:rPr>
        <w:t> </w:t>
      </w:r>
      <w:r>
        <w:rPr>
          <w:sz w:val="24"/>
        </w:rPr>
        <w:t>expertise</w:t>
      </w:r>
      <w:r>
        <w:rPr>
          <w:spacing w:val="-3"/>
          <w:sz w:val="24"/>
        </w:rPr>
        <w:t> </w:t>
      </w:r>
      <w:r>
        <w:rPr>
          <w:sz w:val="24"/>
        </w:rPr>
        <w:t>provided by Dr. Burrows.</w:t>
      </w:r>
    </w:p>
    <w:p>
      <w:pPr>
        <w:pStyle w:val="BodyText"/>
        <w:spacing w:before="1"/>
        <w:rPr>
          <w:i w:val="0"/>
        </w:rPr>
      </w:pPr>
    </w:p>
    <w:p>
      <w:pPr>
        <w:spacing w:before="0"/>
        <w:ind w:left="107" w:right="115" w:firstLine="0"/>
        <w:jc w:val="left"/>
        <w:rPr>
          <w:sz w:val="24"/>
        </w:rPr>
      </w:pPr>
      <w:r>
        <w:rPr>
          <w:sz w:val="24"/>
        </w:rPr>
        <w:t>The Committee wishes to thank the Office of University Analytics and Planning and</w:t>
      </w:r>
      <w:r>
        <w:rPr>
          <w:spacing w:val="-21"/>
          <w:sz w:val="24"/>
        </w:rPr>
        <w:t> </w:t>
      </w:r>
      <w:r>
        <w:rPr>
          <w:sz w:val="24"/>
        </w:rPr>
        <w:t>the University community for their assessment efforts. Every contribution is vital to the assessment process at</w:t>
      </w:r>
      <w:r>
        <w:rPr>
          <w:spacing w:val="-20"/>
          <w:sz w:val="24"/>
        </w:rPr>
        <w:t> </w:t>
      </w:r>
      <w:r>
        <w:rPr>
          <w:sz w:val="24"/>
        </w:rPr>
        <w:t>the University of North Dakota. The Senate University Assessment Committee for the 2020-2021 academic</w:t>
      </w:r>
      <w:r>
        <w:rPr>
          <w:spacing w:val="-7"/>
          <w:sz w:val="24"/>
        </w:rPr>
        <w:t> </w:t>
      </w:r>
      <w:r>
        <w:rPr>
          <w:sz w:val="24"/>
        </w:rPr>
        <w:t>year</w:t>
      </w:r>
      <w:r>
        <w:rPr>
          <w:spacing w:val="-4"/>
          <w:sz w:val="24"/>
        </w:rPr>
        <w:t> </w:t>
      </w:r>
      <w:r>
        <w:rPr>
          <w:sz w:val="24"/>
        </w:rPr>
        <w:t>was</w:t>
      </w:r>
      <w:r>
        <w:rPr>
          <w:spacing w:val="-1"/>
          <w:sz w:val="24"/>
        </w:rPr>
        <w:t> </w:t>
      </w:r>
      <w:r>
        <w:rPr>
          <w:sz w:val="24"/>
        </w:rPr>
        <w:t>co-chaired</w:t>
      </w:r>
      <w:r>
        <w:rPr>
          <w:spacing w:val="-4"/>
          <w:sz w:val="24"/>
        </w:rPr>
        <w:t> </w:t>
      </w:r>
      <w:r>
        <w:rPr>
          <w:sz w:val="24"/>
        </w:rPr>
        <w:t>by</w:t>
      </w:r>
      <w:r>
        <w:rPr>
          <w:spacing w:val="-4"/>
          <w:sz w:val="24"/>
        </w:rPr>
        <w:t> </w:t>
      </w:r>
      <w:r>
        <w:rPr>
          <w:sz w:val="24"/>
        </w:rPr>
        <w:t>Amber</w:t>
      </w:r>
      <w:r>
        <w:rPr>
          <w:spacing w:val="-4"/>
          <w:sz w:val="24"/>
        </w:rPr>
        <w:t> </w:t>
      </w:r>
      <w:r>
        <w:rPr>
          <w:sz w:val="24"/>
        </w:rPr>
        <w:t>Johnson</w:t>
      </w:r>
      <w:r>
        <w:rPr>
          <w:spacing w:val="-5"/>
          <w:sz w:val="24"/>
        </w:rPr>
        <w:t> </w:t>
      </w:r>
      <w:r>
        <w:rPr>
          <w:sz w:val="24"/>
        </w:rPr>
        <w:t>(CNPD)</w:t>
      </w:r>
      <w:r>
        <w:rPr>
          <w:spacing w:val="-5"/>
          <w:sz w:val="24"/>
        </w:rPr>
        <w:t> </w:t>
      </w:r>
      <w:r>
        <w:rPr>
          <w:sz w:val="24"/>
        </w:rPr>
        <w:t>and</w:t>
      </w:r>
      <w:r>
        <w:rPr>
          <w:spacing w:val="-4"/>
          <w:sz w:val="24"/>
        </w:rPr>
        <w:t> </w:t>
      </w:r>
      <w:r>
        <w:rPr>
          <w:sz w:val="24"/>
        </w:rPr>
        <w:t>Deborah</w:t>
      </w:r>
      <w:r>
        <w:rPr>
          <w:spacing w:val="-4"/>
          <w:sz w:val="24"/>
        </w:rPr>
        <w:t> </w:t>
      </w:r>
      <w:r>
        <w:rPr>
          <w:sz w:val="24"/>
        </w:rPr>
        <w:t>Worley</w:t>
      </w:r>
      <w:r>
        <w:rPr>
          <w:spacing w:val="-4"/>
          <w:sz w:val="24"/>
        </w:rPr>
        <w:t> </w:t>
      </w:r>
      <w:r>
        <w:rPr>
          <w:sz w:val="24"/>
        </w:rPr>
        <w:t>(CEHD).</w:t>
      </w:r>
      <w:r>
        <w:rPr>
          <w:spacing w:val="-24"/>
          <w:sz w:val="24"/>
        </w:rPr>
        <w:t> </w:t>
      </w:r>
      <w:r>
        <w:rPr>
          <w:sz w:val="24"/>
        </w:rPr>
        <w:t>Committee members for the 2020-2021 year included:</w:t>
      </w:r>
    </w:p>
    <w:p>
      <w:pPr>
        <w:pStyle w:val="BodyText"/>
        <w:rPr>
          <w:i w:val="0"/>
        </w:rPr>
      </w:pPr>
    </w:p>
    <w:p>
      <w:pPr>
        <w:spacing w:before="0"/>
        <w:ind w:left="828" w:right="0" w:firstLine="0"/>
        <w:jc w:val="both"/>
        <w:rPr>
          <w:sz w:val="24"/>
        </w:rPr>
      </w:pPr>
      <w:r>
        <w:rPr>
          <w:sz w:val="24"/>
        </w:rPr>
        <w:t>Frank</w:t>
      </w:r>
      <w:r>
        <w:rPr>
          <w:spacing w:val="-3"/>
          <w:sz w:val="24"/>
        </w:rPr>
        <w:t> </w:t>
      </w:r>
      <w:r>
        <w:rPr>
          <w:sz w:val="24"/>
        </w:rPr>
        <w:t>Bowman </w:t>
      </w:r>
      <w:r>
        <w:rPr>
          <w:spacing w:val="-2"/>
          <w:sz w:val="24"/>
        </w:rPr>
        <w:t>(CEM)</w:t>
      </w:r>
    </w:p>
    <w:p>
      <w:pPr>
        <w:spacing w:before="0"/>
        <w:ind w:left="828" w:right="3715" w:firstLine="0"/>
        <w:jc w:val="both"/>
        <w:rPr>
          <w:sz w:val="24"/>
        </w:rPr>
      </w:pPr>
      <w:r>
        <w:rPr>
          <w:sz w:val="24"/>
        </w:rPr>
        <w:t>Tim</w:t>
      </w:r>
      <w:r>
        <w:rPr>
          <w:spacing w:val="-6"/>
          <w:sz w:val="24"/>
        </w:rPr>
        <w:t> </w:t>
      </w:r>
      <w:r>
        <w:rPr>
          <w:sz w:val="24"/>
        </w:rPr>
        <w:t>Burrows</w:t>
      </w:r>
      <w:r>
        <w:rPr>
          <w:spacing w:val="-6"/>
          <w:sz w:val="24"/>
        </w:rPr>
        <w:t> </w:t>
      </w:r>
      <w:r>
        <w:rPr>
          <w:sz w:val="24"/>
        </w:rPr>
        <w:t>(Director</w:t>
      </w:r>
      <w:r>
        <w:rPr>
          <w:spacing w:val="-6"/>
          <w:sz w:val="24"/>
        </w:rPr>
        <w:t> </w:t>
      </w:r>
      <w:r>
        <w:rPr>
          <w:sz w:val="24"/>
        </w:rPr>
        <w:t>of</w:t>
      </w:r>
      <w:r>
        <w:rPr>
          <w:spacing w:val="-6"/>
          <w:sz w:val="24"/>
        </w:rPr>
        <w:t> </w:t>
      </w:r>
      <w:r>
        <w:rPr>
          <w:sz w:val="24"/>
        </w:rPr>
        <w:t>Assessment</w:t>
      </w:r>
      <w:r>
        <w:rPr>
          <w:spacing w:val="-6"/>
          <w:sz w:val="24"/>
        </w:rPr>
        <w:t> </w:t>
      </w:r>
      <w:r>
        <w:rPr>
          <w:sz w:val="24"/>
        </w:rPr>
        <w:t>and</w:t>
      </w:r>
      <w:r>
        <w:rPr>
          <w:spacing w:val="-6"/>
          <w:sz w:val="24"/>
        </w:rPr>
        <w:t> </w:t>
      </w:r>
      <w:r>
        <w:rPr>
          <w:sz w:val="24"/>
        </w:rPr>
        <w:t>Accreditation) Laura Fetzer (student)</w:t>
      </w:r>
    </w:p>
    <w:p>
      <w:pPr>
        <w:spacing w:before="0"/>
        <w:ind w:left="828" w:right="6840" w:firstLine="0"/>
        <w:jc w:val="both"/>
        <w:rPr>
          <w:sz w:val="24"/>
        </w:rPr>
      </w:pPr>
      <w:r>
        <w:rPr>
          <w:sz w:val="24"/>
        </w:rPr>
        <w:t>Sherrie</w:t>
      </w:r>
      <w:r>
        <w:rPr>
          <w:spacing w:val="-14"/>
          <w:sz w:val="24"/>
        </w:rPr>
        <w:t> </w:t>
      </w:r>
      <w:r>
        <w:rPr>
          <w:sz w:val="24"/>
        </w:rPr>
        <w:t>Fleshman</w:t>
      </w:r>
      <w:r>
        <w:rPr>
          <w:spacing w:val="-14"/>
          <w:sz w:val="24"/>
        </w:rPr>
        <w:t> </w:t>
      </w:r>
      <w:r>
        <w:rPr>
          <w:sz w:val="24"/>
        </w:rPr>
        <w:t>(A&amp;S) Lydia</w:t>
      </w:r>
      <w:r>
        <w:rPr>
          <w:spacing w:val="-15"/>
          <w:sz w:val="24"/>
        </w:rPr>
        <w:t> </w:t>
      </w:r>
      <w:r>
        <w:rPr>
          <w:sz w:val="24"/>
        </w:rPr>
        <w:t>Kennelly</w:t>
      </w:r>
      <w:r>
        <w:rPr>
          <w:spacing w:val="-15"/>
          <w:sz w:val="24"/>
        </w:rPr>
        <w:t> </w:t>
      </w:r>
      <w:r>
        <w:rPr>
          <w:sz w:val="24"/>
        </w:rPr>
        <w:t>(student) Soizik Laguette (JDO)</w:t>
      </w:r>
    </w:p>
    <w:p>
      <w:pPr>
        <w:spacing w:before="1"/>
        <w:ind w:left="828" w:right="0" w:firstLine="0"/>
        <w:jc w:val="left"/>
        <w:rPr>
          <w:sz w:val="24"/>
        </w:rPr>
      </w:pPr>
      <w:r>
        <w:rPr>
          <w:sz w:val="24"/>
        </w:rPr>
        <w:t>Laura</w:t>
      </w:r>
      <w:r>
        <w:rPr>
          <w:spacing w:val="-4"/>
          <w:sz w:val="24"/>
        </w:rPr>
        <w:t> </w:t>
      </w:r>
      <w:r>
        <w:rPr>
          <w:sz w:val="24"/>
        </w:rPr>
        <w:t>Look</w:t>
      </w:r>
      <w:r>
        <w:rPr>
          <w:spacing w:val="1"/>
          <w:sz w:val="24"/>
        </w:rPr>
        <w:t> </w:t>
      </w:r>
      <w:r>
        <w:rPr>
          <w:sz w:val="24"/>
        </w:rPr>
        <w:t>(Graduate</w:t>
      </w:r>
      <w:r>
        <w:rPr>
          <w:spacing w:val="-1"/>
          <w:sz w:val="24"/>
        </w:rPr>
        <w:t> </w:t>
      </w:r>
      <w:r>
        <w:rPr>
          <w:sz w:val="24"/>
        </w:rPr>
        <w:t>Studies</w:t>
      </w:r>
      <w:r>
        <w:rPr>
          <w:spacing w:val="-8"/>
          <w:sz w:val="24"/>
        </w:rPr>
        <w:t> </w:t>
      </w:r>
      <w:r>
        <w:rPr>
          <w:spacing w:val="-2"/>
          <w:sz w:val="24"/>
        </w:rPr>
        <w:t>Designee)</w:t>
      </w:r>
    </w:p>
    <w:p>
      <w:pPr>
        <w:spacing w:before="0"/>
        <w:ind w:left="828" w:right="4111" w:firstLine="0"/>
        <w:jc w:val="left"/>
        <w:rPr>
          <w:sz w:val="24"/>
        </w:rPr>
      </w:pPr>
      <w:r>
        <w:rPr>
          <w:sz w:val="24"/>
        </w:rPr>
        <w:t>Amber</w:t>
      </w:r>
      <w:r>
        <w:rPr>
          <w:spacing w:val="-8"/>
          <w:sz w:val="24"/>
        </w:rPr>
        <w:t> </w:t>
      </w:r>
      <w:r>
        <w:rPr>
          <w:sz w:val="24"/>
        </w:rPr>
        <w:t>Johnson</w:t>
      </w:r>
      <w:r>
        <w:rPr>
          <w:spacing w:val="-9"/>
          <w:sz w:val="24"/>
        </w:rPr>
        <w:t> </w:t>
      </w:r>
      <w:r>
        <w:rPr>
          <w:sz w:val="24"/>
        </w:rPr>
        <w:t>(Nursing</w:t>
      </w:r>
      <w:r>
        <w:rPr>
          <w:spacing w:val="-7"/>
          <w:sz w:val="24"/>
        </w:rPr>
        <w:t> </w:t>
      </w:r>
      <w:r>
        <w:rPr>
          <w:sz w:val="24"/>
        </w:rPr>
        <w:t>&amp;</w:t>
      </w:r>
      <w:r>
        <w:rPr>
          <w:spacing w:val="-8"/>
          <w:sz w:val="24"/>
        </w:rPr>
        <w:t> </w:t>
      </w:r>
      <w:r>
        <w:rPr>
          <w:sz w:val="24"/>
        </w:rPr>
        <w:t>Professional</w:t>
      </w:r>
      <w:r>
        <w:rPr>
          <w:spacing w:val="-8"/>
          <w:sz w:val="24"/>
        </w:rPr>
        <w:t> </w:t>
      </w:r>
      <w:r>
        <w:rPr>
          <w:sz w:val="24"/>
        </w:rPr>
        <w:t>Disciplines) Amanda Moske (University Analytics &amp; Planning) Seong-Hyun Nam (BPA)</w:t>
      </w:r>
    </w:p>
    <w:p>
      <w:pPr>
        <w:spacing w:before="0"/>
        <w:ind w:left="828" w:right="5601" w:firstLine="0"/>
        <w:jc w:val="left"/>
        <w:rPr>
          <w:sz w:val="24"/>
        </w:rPr>
      </w:pPr>
      <w:r>
        <w:rPr>
          <w:sz w:val="24"/>
        </w:rPr>
        <w:t>Karyn Plumm (Essential Studies) Alex</w:t>
      </w:r>
      <w:r>
        <w:rPr>
          <w:spacing w:val="-15"/>
          <w:sz w:val="24"/>
        </w:rPr>
        <w:t> </w:t>
      </w:r>
      <w:r>
        <w:rPr>
          <w:sz w:val="24"/>
        </w:rPr>
        <w:t>Pokornowski</w:t>
      </w:r>
      <w:r>
        <w:rPr>
          <w:spacing w:val="-14"/>
          <w:sz w:val="24"/>
        </w:rPr>
        <w:t> </w:t>
      </w:r>
      <w:r>
        <w:rPr>
          <w:sz w:val="24"/>
        </w:rPr>
        <w:t>(VPSA</w:t>
      </w:r>
      <w:r>
        <w:rPr>
          <w:spacing w:val="-14"/>
          <w:sz w:val="24"/>
        </w:rPr>
        <w:t> </w:t>
      </w:r>
      <w:r>
        <w:rPr>
          <w:sz w:val="24"/>
        </w:rPr>
        <w:t>designee) Sarah Sletten (MED)</w:t>
      </w:r>
    </w:p>
    <w:p>
      <w:pPr>
        <w:spacing w:before="0"/>
        <w:ind w:left="828" w:right="0" w:firstLine="0"/>
        <w:jc w:val="left"/>
        <w:rPr>
          <w:sz w:val="24"/>
        </w:rPr>
      </w:pPr>
      <w:r>
        <w:rPr>
          <w:sz w:val="24"/>
        </w:rPr>
        <w:t>Deborah</w:t>
      </w:r>
      <w:r>
        <w:rPr>
          <w:spacing w:val="-2"/>
          <w:sz w:val="24"/>
        </w:rPr>
        <w:t> </w:t>
      </w:r>
      <w:r>
        <w:rPr>
          <w:sz w:val="24"/>
        </w:rPr>
        <w:t>Worley</w:t>
      </w:r>
      <w:r>
        <w:rPr>
          <w:spacing w:val="-3"/>
          <w:sz w:val="24"/>
        </w:rPr>
        <w:t> </w:t>
      </w:r>
      <w:r>
        <w:rPr>
          <w:spacing w:val="-4"/>
          <w:sz w:val="24"/>
        </w:rPr>
        <w:t>(EHD)</w:t>
      </w:r>
    </w:p>
    <w:p>
      <w:pPr>
        <w:spacing w:after="0"/>
        <w:jc w:val="left"/>
        <w:rPr>
          <w:sz w:val="24"/>
        </w:rPr>
        <w:sectPr>
          <w:type w:val="continuous"/>
          <w:pgSz w:w="12240" w:h="15840"/>
          <w:pgMar w:top="1360" w:bottom="280" w:left="1080" w:right="1080"/>
        </w:sectPr>
      </w:pPr>
    </w:p>
    <w:p>
      <w:pPr>
        <w:spacing w:before="79"/>
        <w:ind w:left="107" w:right="0" w:firstLine="0"/>
        <w:jc w:val="left"/>
        <w:rPr>
          <w:sz w:val="24"/>
        </w:rPr>
      </w:pPr>
      <w:r>
        <w:rPr>
          <w:sz w:val="24"/>
          <w:u w:val="single"/>
        </w:rPr>
        <w:t>Functions</w:t>
      </w:r>
      <w:r>
        <w:rPr>
          <w:spacing w:val="-2"/>
          <w:sz w:val="24"/>
          <w:u w:val="single"/>
        </w:rPr>
        <w:t> </w:t>
      </w:r>
      <w:r>
        <w:rPr>
          <w:sz w:val="24"/>
          <w:u w:val="single"/>
        </w:rPr>
        <w:t>and</w:t>
      </w:r>
      <w:r>
        <w:rPr>
          <w:spacing w:val="-2"/>
          <w:sz w:val="24"/>
          <w:u w:val="single"/>
        </w:rPr>
        <w:t> </w:t>
      </w:r>
      <w:r>
        <w:rPr>
          <w:sz w:val="24"/>
          <w:u w:val="single"/>
        </w:rPr>
        <w:t>Responsibilities</w:t>
      </w:r>
      <w:r>
        <w:rPr>
          <w:spacing w:val="-1"/>
          <w:sz w:val="24"/>
          <w:u w:val="single"/>
        </w:rPr>
        <w:t> </w:t>
      </w:r>
      <w:r>
        <w:rPr>
          <w:sz w:val="24"/>
          <w:u w:val="single"/>
        </w:rPr>
        <w:t>of</w:t>
      </w:r>
      <w:r>
        <w:rPr>
          <w:spacing w:val="-2"/>
          <w:sz w:val="24"/>
          <w:u w:val="single"/>
        </w:rPr>
        <w:t> </w:t>
      </w:r>
      <w:r>
        <w:rPr>
          <w:sz w:val="24"/>
          <w:u w:val="single"/>
        </w:rPr>
        <w:t>the</w:t>
      </w:r>
      <w:r>
        <w:rPr>
          <w:spacing w:val="-1"/>
          <w:sz w:val="24"/>
          <w:u w:val="single"/>
        </w:rPr>
        <w:t> </w:t>
      </w:r>
      <w:r>
        <w:rPr>
          <w:sz w:val="24"/>
          <w:u w:val="single"/>
        </w:rPr>
        <w:t>University</w:t>
      </w:r>
      <w:r>
        <w:rPr>
          <w:spacing w:val="-1"/>
          <w:sz w:val="24"/>
          <w:u w:val="single"/>
        </w:rPr>
        <w:t> </w:t>
      </w:r>
      <w:r>
        <w:rPr>
          <w:sz w:val="24"/>
          <w:u w:val="single"/>
        </w:rPr>
        <w:t>Assessment</w:t>
      </w:r>
      <w:r>
        <w:rPr>
          <w:spacing w:val="-20"/>
          <w:sz w:val="24"/>
          <w:u w:val="single"/>
        </w:rPr>
        <w:t> </w:t>
      </w:r>
      <w:r>
        <w:rPr>
          <w:spacing w:val="-2"/>
          <w:sz w:val="24"/>
          <w:u w:val="single"/>
        </w:rPr>
        <w:t>Committee</w:t>
      </w:r>
    </w:p>
    <w:p>
      <w:pPr>
        <w:spacing w:before="0"/>
        <w:ind w:left="107" w:right="115" w:firstLine="0"/>
        <w:jc w:val="left"/>
        <w:rPr>
          <w:sz w:val="24"/>
        </w:rPr>
      </w:pPr>
      <w:r>
        <w:rPr>
          <w:sz w:val="24"/>
        </w:rPr>
        <w:t>The University Senate has identified six areas of responsibility for the University Assessment Committee.</w:t>
      </w:r>
      <w:r>
        <w:rPr>
          <w:spacing w:val="-35"/>
          <w:sz w:val="24"/>
        </w:rPr>
        <w:t> </w:t>
      </w:r>
      <w:r>
        <w:rPr>
          <w:sz w:val="24"/>
        </w:rPr>
        <w:t>The</w:t>
      </w:r>
      <w:r>
        <w:rPr>
          <w:spacing w:val="-7"/>
          <w:sz w:val="24"/>
        </w:rPr>
        <w:t> </w:t>
      </w:r>
      <w:r>
        <w:rPr>
          <w:sz w:val="24"/>
        </w:rPr>
        <w:t>responsibilities</w:t>
      </w:r>
      <w:r>
        <w:rPr>
          <w:spacing w:val="-4"/>
          <w:sz w:val="24"/>
        </w:rPr>
        <w:t> </w:t>
      </w:r>
      <w:r>
        <w:rPr>
          <w:sz w:val="24"/>
        </w:rPr>
        <w:t>of</w:t>
      </w:r>
      <w:r>
        <w:rPr>
          <w:spacing w:val="-5"/>
          <w:sz w:val="24"/>
        </w:rPr>
        <w:t> </w:t>
      </w:r>
      <w:r>
        <w:rPr>
          <w:sz w:val="24"/>
        </w:rPr>
        <w:t>the</w:t>
      </w:r>
      <w:r>
        <w:rPr>
          <w:spacing w:val="-4"/>
          <w:sz w:val="24"/>
        </w:rPr>
        <w:t> </w:t>
      </w:r>
      <w:r>
        <w:rPr>
          <w:sz w:val="24"/>
        </w:rPr>
        <w:t>Committee</w:t>
      </w:r>
      <w:r>
        <w:rPr>
          <w:spacing w:val="-6"/>
          <w:sz w:val="24"/>
        </w:rPr>
        <w:t> </w:t>
      </w:r>
      <w:r>
        <w:rPr>
          <w:sz w:val="24"/>
        </w:rPr>
        <w:t>and</w:t>
      </w:r>
      <w:r>
        <w:rPr>
          <w:spacing w:val="-4"/>
          <w:sz w:val="24"/>
        </w:rPr>
        <w:t> </w:t>
      </w:r>
      <w:r>
        <w:rPr>
          <w:sz w:val="24"/>
        </w:rPr>
        <w:t>its</w:t>
      </w:r>
      <w:r>
        <w:rPr>
          <w:spacing w:val="-2"/>
          <w:sz w:val="24"/>
        </w:rPr>
        <w:t> </w:t>
      </w:r>
      <w:r>
        <w:rPr>
          <w:sz w:val="24"/>
        </w:rPr>
        <w:t>accomplishments</w:t>
      </w:r>
      <w:r>
        <w:rPr>
          <w:spacing w:val="-4"/>
          <w:sz w:val="24"/>
        </w:rPr>
        <w:t> </w:t>
      </w:r>
      <w:r>
        <w:rPr>
          <w:sz w:val="24"/>
        </w:rPr>
        <w:t>during</w:t>
      </w:r>
      <w:r>
        <w:rPr>
          <w:spacing w:val="-4"/>
          <w:sz w:val="24"/>
        </w:rPr>
        <w:t> </w:t>
      </w:r>
      <w:r>
        <w:rPr>
          <w:sz w:val="24"/>
        </w:rPr>
        <w:t>the</w:t>
      </w:r>
      <w:r>
        <w:rPr>
          <w:spacing w:val="-4"/>
          <w:sz w:val="24"/>
        </w:rPr>
        <w:t> </w:t>
      </w:r>
      <w:r>
        <w:rPr>
          <w:sz w:val="24"/>
        </w:rPr>
        <w:t>2020-21 academic year are addressed</w:t>
      </w:r>
      <w:r>
        <w:rPr>
          <w:spacing w:val="-1"/>
          <w:sz w:val="24"/>
        </w:rPr>
        <w:t> </w:t>
      </w:r>
      <w:r>
        <w:rPr>
          <w:sz w:val="24"/>
        </w:rPr>
        <w:t>as follows:</w:t>
      </w:r>
    </w:p>
    <w:p>
      <w:pPr>
        <w:pStyle w:val="ListParagraph"/>
        <w:numPr>
          <w:ilvl w:val="0"/>
          <w:numId w:val="1"/>
        </w:numPr>
        <w:tabs>
          <w:tab w:pos="720" w:val="left" w:leader="none"/>
          <w:tab w:pos="828" w:val="left" w:leader="none"/>
        </w:tabs>
        <w:spacing w:line="240" w:lineRule="auto" w:before="185" w:after="0"/>
        <w:ind w:left="720" w:right="699" w:hanging="613"/>
        <w:jc w:val="left"/>
        <w:rPr>
          <w:i/>
          <w:sz w:val="24"/>
        </w:rPr>
      </w:pPr>
      <w:r>
        <w:rPr>
          <w:sz w:val="22"/>
        </w:rPr>
        <w:tab/>
      </w:r>
      <w:r>
        <w:rPr>
          <w:sz w:val="24"/>
        </w:rPr>
        <w:t>Address all issues regarding the assessment of student achievement and development. </w:t>
      </w:r>
      <w:r>
        <w:rPr>
          <w:i/>
          <w:sz w:val="24"/>
        </w:rPr>
        <w:t>The university began using a new system, Taskstream, in AY2020-21 where academic</w:t>
      </w:r>
      <w:r>
        <w:rPr>
          <w:i/>
          <w:sz w:val="24"/>
        </w:rPr>
        <w:t> departments</w:t>
      </w:r>
      <w:r>
        <w:rPr>
          <w:i/>
          <w:spacing w:val="-5"/>
          <w:sz w:val="24"/>
        </w:rPr>
        <w:t> </w:t>
      </w:r>
      <w:r>
        <w:rPr>
          <w:i/>
          <w:sz w:val="24"/>
        </w:rPr>
        <w:t>and</w:t>
      </w:r>
      <w:r>
        <w:rPr>
          <w:i/>
          <w:spacing w:val="-5"/>
          <w:sz w:val="24"/>
        </w:rPr>
        <w:t> </w:t>
      </w:r>
      <w:r>
        <w:rPr>
          <w:i/>
          <w:sz w:val="24"/>
        </w:rPr>
        <w:t>co-curricular</w:t>
      </w:r>
      <w:r>
        <w:rPr>
          <w:i/>
          <w:spacing w:val="-5"/>
          <w:sz w:val="24"/>
        </w:rPr>
        <w:t> </w:t>
      </w:r>
      <w:r>
        <w:rPr>
          <w:i/>
          <w:sz w:val="24"/>
        </w:rPr>
        <w:t>programs</w:t>
      </w:r>
      <w:r>
        <w:rPr>
          <w:i/>
          <w:spacing w:val="-5"/>
          <w:sz w:val="24"/>
        </w:rPr>
        <w:t> </w:t>
      </w:r>
      <w:r>
        <w:rPr>
          <w:i/>
          <w:sz w:val="24"/>
        </w:rPr>
        <w:t>upload</w:t>
      </w:r>
      <w:r>
        <w:rPr>
          <w:i/>
          <w:spacing w:val="-5"/>
          <w:sz w:val="24"/>
        </w:rPr>
        <w:t> </w:t>
      </w:r>
      <w:r>
        <w:rPr>
          <w:i/>
          <w:sz w:val="24"/>
        </w:rPr>
        <w:t>assessment</w:t>
      </w:r>
      <w:r>
        <w:rPr>
          <w:i/>
          <w:spacing w:val="-5"/>
          <w:sz w:val="24"/>
        </w:rPr>
        <w:t> </w:t>
      </w:r>
      <w:r>
        <w:rPr>
          <w:i/>
          <w:sz w:val="24"/>
        </w:rPr>
        <w:t>plans</w:t>
      </w:r>
      <w:r>
        <w:rPr>
          <w:i/>
          <w:spacing w:val="-5"/>
          <w:sz w:val="24"/>
        </w:rPr>
        <w:t> </w:t>
      </w:r>
      <w:r>
        <w:rPr>
          <w:i/>
          <w:sz w:val="24"/>
        </w:rPr>
        <w:t>and</w:t>
      </w:r>
      <w:r>
        <w:rPr>
          <w:i/>
          <w:spacing w:val="-5"/>
          <w:sz w:val="24"/>
        </w:rPr>
        <w:t> </w:t>
      </w:r>
      <w:r>
        <w:rPr>
          <w:i/>
          <w:sz w:val="24"/>
        </w:rPr>
        <w:t>annual</w:t>
      </w:r>
      <w:r>
        <w:rPr>
          <w:i/>
          <w:spacing w:val="-5"/>
          <w:sz w:val="24"/>
        </w:rPr>
        <w:t> </w:t>
      </w:r>
      <w:r>
        <w:rPr>
          <w:i/>
          <w:sz w:val="24"/>
        </w:rPr>
        <w:t>assessment</w:t>
      </w:r>
    </w:p>
    <w:p>
      <w:pPr>
        <w:pStyle w:val="BodyText"/>
        <w:ind w:left="720"/>
      </w:pPr>
      <w:r>
        <w:rPr>
          <w:i/>
        </w:rPr>
        <w:t>reports.</w:t>
      </w:r>
      <w:r>
        <w:rPr>
          <w:i/>
          <w:spacing w:val="-4"/>
        </w:rPr>
        <w:t> </w:t>
      </w:r>
      <w:r>
        <w:rPr>
          <w:i/>
        </w:rPr>
        <w:t>In</w:t>
      </w:r>
      <w:r>
        <w:rPr>
          <w:i/>
          <w:spacing w:val="-4"/>
        </w:rPr>
        <w:t> </w:t>
      </w:r>
      <w:r>
        <w:rPr>
          <w:i/>
        </w:rPr>
        <w:t>2020-21,</w:t>
      </w:r>
      <w:r>
        <w:rPr>
          <w:i/>
          <w:spacing w:val="-4"/>
        </w:rPr>
        <w:t> </w:t>
      </w:r>
      <w:r>
        <w:rPr>
          <w:i/>
        </w:rPr>
        <w:t>the</w:t>
      </w:r>
      <w:r>
        <w:rPr>
          <w:i/>
          <w:spacing w:val="-3"/>
        </w:rPr>
        <w:t> </w:t>
      </w:r>
      <w:r>
        <w:rPr>
          <w:i/>
        </w:rPr>
        <w:t>University</w:t>
      </w:r>
      <w:r>
        <w:rPr>
          <w:i/>
          <w:spacing w:val="-4"/>
        </w:rPr>
        <w:t> </w:t>
      </w:r>
      <w:r>
        <w:rPr>
          <w:i/>
        </w:rPr>
        <w:t>Assessment</w:t>
      </w:r>
      <w:r>
        <w:rPr>
          <w:i/>
          <w:spacing w:val="-4"/>
        </w:rPr>
        <w:t> </w:t>
      </w:r>
      <w:r>
        <w:rPr>
          <w:i/>
        </w:rPr>
        <w:t>Committee</w:t>
      </w:r>
      <w:r>
        <w:rPr>
          <w:i/>
          <w:spacing w:val="-4"/>
        </w:rPr>
        <w:t> </w:t>
      </w:r>
      <w:r>
        <w:rPr>
          <w:i/>
        </w:rPr>
        <w:t>(UAC)</w:t>
      </w:r>
      <w:r>
        <w:rPr>
          <w:i/>
          <w:spacing w:val="-5"/>
        </w:rPr>
        <w:t> </w:t>
      </w:r>
      <w:r>
        <w:rPr>
          <w:i/>
        </w:rPr>
        <w:t>utilized</w:t>
      </w:r>
      <w:r>
        <w:rPr>
          <w:i/>
          <w:spacing w:val="-2"/>
        </w:rPr>
        <w:t> </w:t>
      </w:r>
      <w:r>
        <w:rPr>
          <w:i/>
        </w:rPr>
        <w:t>Taskstream</w:t>
      </w:r>
      <w:r>
        <w:rPr>
          <w:i/>
          <w:spacing w:val="-4"/>
        </w:rPr>
        <w:t> </w:t>
      </w:r>
      <w:r>
        <w:rPr>
          <w:i/>
        </w:rPr>
        <w:t>to</w:t>
      </w:r>
      <w:r>
        <w:rPr>
          <w:i/>
          <w:spacing w:val="-4"/>
        </w:rPr>
        <w:t> </w:t>
      </w:r>
      <w:r>
        <w:rPr>
          <w:i/>
        </w:rPr>
        <w:t>review</w:t>
      </w:r>
      <w:r>
        <w:rPr/>
        <w:t> assessment plans and annual assessment reports for the College of Arts and Sciences and the School of Law. The UAC also reviewed co-curricular units, including Career Services, the Chester Fritz Library, Wellness &amp; Health, International Programs, Student Involvement, and Parent Programs. The UAC provided feedback on student learning outcomes, assessment measures, reported results, and opportunities for closing the assessment loop on the reviewed reports. The feedback was compiled in Taskstream and emailed to department chairs and unit </w:t>
      </w:r>
      <w:r>
        <w:rPr>
          <w:spacing w:val="-2"/>
        </w:rPr>
        <w:t>directors.</w:t>
      </w:r>
    </w:p>
    <w:p>
      <w:pPr>
        <w:pStyle w:val="ListParagraph"/>
        <w:numPr>
          <w:ilvl w:val="0"/>
          <w:numId w:val="1"/>
        </w:numPr>
        <w:tabs>
          <w:tab w:pos="828" w:val="left" w:leader="none"/>
        </w:tabs>
        <w:spacing w:line="240" w:lineRule="auto" w:before="183" w:after="0"/>
        <w:ind w:left="828" w:right="952" w:hanging="721"/>
        <w:jc w:val="left"/>
        <w:rPr>
          <w:sz w:val="24"/>
        </w:rPr>
      </w:pPr>
      <w:r>
        <w:rPr>
          <w:sz w:val="24"/>
        </w:rPr>
        <w:t>Develop,</w:t>
      </w:r>
      <w:r>
        <w:rPr>
          <w:spacing w:val="-4"/>
          <w:sz w:val="24"/>
        </w:rPr>
        <w:t> </w:t>
      </w:r>
      <w:r>
        <w:rPr>
          <w:sz w:val="24"/>
        </w:rPr>
        <w:t>review,</w:t>
      </w:r>
      <w:r>
        <w:rPr>
          <w:spacing w:val="-4"/>
          <w:sz w:val="24"/>
        </w:rPr>
        <w:t> </w:t>
      </w:r>
      <w:r>
        <w:rPr>
          <w:sz w:val="24"/>
        </w:rPr>
        <w:t>and</w:t>
      </w:r>
      <w:r>
        <w:rPr>
          <w:spacing w:val="-2"/>
          <w:sz w:val="24"/>
        </w:rPr>
        <w:t> </w:t>
      </w:r>
      <w:r>
        <w:rPr>
          <w:sz w:val="24"/>
        </w:rPr>
        <w:t>evaluate</w:t>
      </w:r>
      <w:r>
        <w:rPr>
          <w:spacing w:val="-5"/>
          <w:sz w:val="24"/>
        </w:rPr>
        <w:t> </w:t>
      </w:r>
      <w:r>
        <w:rPr>
          <w:sz w:val="24"/>
        </w:rPr>
        <w:t>the</w:t>
      </w:r>
      <w:r>
        <w:rPr>
          <w:spacing w:val="-4"/>
          <w:sz w:val="24"/>
        </w:rPr>
        <w:t> </w:t>
      </w:r>
      <w:r>
        <w:rPr>
          <w:sz w:val="24"/>
        </w:rPr>
        <w:t>University</w:t>
      </w:r>
      <w:r>
        <w:rPr>
          <w:spacing w:val="-4"/>
          <w:sz w:val="24"/>
        </w:rPr>
        <w:t> </w:t>
      </w:r>
      <w:r>
        <w:rPr>
          <w:sz w:val="24"/>
        </w:rPr>
        <w:t>Assessment</w:t>
      </w:r>
      <w:r>
        <w:rPr>
          <w:spacing w:val="-4"/>
          <w:sz w:val="24"/>
        </w:rPr>
        <w:t> </w:t>
      </w:r>
      <w:r>
        <w:rPr>
          <w:sz w:val="24"/>
        </w:rPr>
        <w:t>Plan</w:t>
      </w:r>
      <w:r>
        <w:rPr>
          <w:spacing w:val="-4"/>
          <w:sz w:val="24"/>
        </w:rPr>
        <w:t> </w:t>
      </w:r>
      <w:r>
        <w:rPr>
          <w:sz w:val="24"/>
        </w:rPr>
        <w:t>in</w:t>
      </w:r>
      <w:r>
        <w:rPr>
          <w:spacing w:val="-4"/>
          <w:sz w:val="24"/>
        </w:rPr>
        <w:t> </w:t>
      </w:r>
      <w:r>
        <w:rPr>
          <w:sz w:val="24"/>
        </w:rPr>
        <w:t>conjunction</w:t>
      </w:r>
      <w:r>
        <w:rPr>
          <w:spacing w:val="-4"/>
          <w:sz w:val="24"/>
        </w:rPr>
        <w:t> </w:t>
      </w:r>
      <w:r>
        <w:rPr>
          <w:sz w:val="24"/>
        </w:rPr>
        <w:t>with</w:t>
      </w:r>
      <w:r>
        <w:rPr>
          <w:spacing w:val="-4"/>
          <w:sz w:val="24"/>
        </w:rPr>
        <w:t> </w:t>
      </w:r>
      <w:r>
        <w:rPr>
          <w:sz w:val="24"/>
        </w:rPr>
        <w:t>the Assessment Director.</w:t>
      </w:r>
    </w:p>
    <w:p>
      <w:pPr>
        <w:pStyle w:val="BodyText"/>
        <w:ind w:left="828" w:right="316"/>
      </w:pPr>
      <w:r>
        <w:rPr>
          <w:i/>
        </w:rPr>
        <w:t>This document is to be reviewed every other year and was reviewed in fall 2019. The plan</w:t>
      </w:r>
      <w:r>
        <w:rPr/>
        <w:t> should be reviewed again in</w:t>
      </w:r>
      <w:r>
        <w:rPr>
          <w:spacing w:val="-23"/>
        </w:rPr>
        <w:t> </w:t>
      </w:r>
      <w:r>
        <w:rPr/>
        <w:t>fall 2021. The most recent version of the University Assessment Plan</w:t>
      </w:r>
      <w:r>
        <w:rPr>
          <w:spacing w:val="-10"/>
        </w:rPr>
        <w:t> </w:t>
      </w:r>
      <w:r>
        <w:rPr/>
        <w:t>is</w:t>
      </w:r>
      <w:r>
        <w:rPr>
          <w:spacing w:val="-10"/>
        </w:rPr>
        <w:t> </w:t>
      </w:r>
      <w:r>
        <w:rPr/>
        <w:t>available</w:t>
      </w:r>
      <w:r>
        <w:rPr>
          <w:spacing w:val="-10"/>
        </w:rPr>
        <w:t> </w:t>
      </w:r>
      <w:r>
        <w:rPr/>
        <w:t>at:</w:t>
      </w:r>
      <w:r>
        <w:rPr>
          <w:spacing w:val="-10"/>
        </w:rPr>
        <w:t> </w:t>
      </w:r>
      <w:hyperlink r:id="rId5">
        <w:r>
          <w:rPr>
            <w:color w:val="0000FF"/>
            <w:u w:val="single" w:color="0000FF"/>
          </w:rPr>
          <w:t>https://campus.und.edu/assessment-accreditation/_files/docs/univ-asmt-</w:t>
        </w:r>
      </w:hyperlink>
      <w:hyperlink r:id="rId5">
        <w:r>
          <w:rPr>
            <w:color w:val="0000FF"/>
            <w:spacing w:val="-2"/>
            <w:u w:val="single" w:color="0000FF"/>
          </w:rPr>
          <w:t>plan-2019-final2.pdf</w:t>
        </w:r>
      </w:hyperlink>
    </w:p>
    <w:p>
      <w:pPr>
        <w:pStyle w:val="ListParagraph"/>
        <w:numPr>
          <w:ilvl w:val="0"/>
          <w:numId w:val="1"/>
        </w:numPr>
        <w:tabs>
          <w:tab w:pos="720" w:val="left" w:leader="none"/>
          <w:tab w:pos="828" w:val="left" w:leader="none"/>
        </w:tabs>
        <w:spacing w:line="240" w:lineRule="auto" w:before="185" w:after="0"/>
        <w:ind w:left="720" w:right="168" w:hanging="606"/>
        <w:jc w:val="left"/>
        <w:rPr>
          <w:i/>
          <w:sz w:val="24"/>
        </w:rPr>
      </w:pPr>
      <w:r>
        <w:rPr>
          <w:sz w:val="22"/>
        </w:rPr>
        <w:tab/>
      </w:r>
      <w:r>
        <w:rPr>
          <w:sz w:val="24"/>
        </w:rPr>
        <w:t>Oversee the implementation of the University Assessment Plan, evaluate assessmentactivities and the interpretation of assessment results, and evaluate the overall effectiveness of the</w:t>
      </w:r>
      <w:r>
        <w:rPr>
          <w:spacing w:val="-2"/>
          <w:sz w:val="24"/>
        </w:rPr>
        <w:t> </w:t>
      </w:r>
      <w:r>
        <w:rPr>
          <w:sz w:val="24"/>
        </w:rPr>
        <w:t>Plan. </w:t>
      </w:r>
      <w:r>
        <w:rPr>
          <w:i/>
          <w:sz w:val="24"/>
        </w:rPr>
        <w:t>As</w:t>
      </w:r>
      <w:r>
        <w:rPr>
          <w:i/>
          <w:spacing w:val="-3"/>
          <w:sz w:val="24"/>
        </w:rPr>
        <w:t> </w:t>
      </w:r>
      <w:r>
        <w:rPr>
          <w:i/>
          <w:sz w:val="24"/>
        </w:rPr>
        <w:t>previously</w:t>
      </w:r>
      <w:r>
        <w:rPr>
          <w:i/>
          <w:spacing w:val="-4"/>
          <w:sz w:val="24"/>
        </w:rPr>
        <w:t> </w:t>
      </w:r>
      <w:r>
        <w:rPr>
          <w:i/>
          <w:sz w:val="24"/>
        </w:rPr>
        <w:t>indicated,</w:t>
      </w:r>
      <w:r>
        <w:rPr>
          <w:i/>
          <w:spacing w:val="-3"/>
          <w:sz w:val="24"/>
        </w:rPr>
        <w:t> </w:t>
      </w:r>
      <w:r>
        <w:rPr>
          <w:i/>
          <w:sz w:val="24"/>
        </w:rPr>
        <w:t>in</w:t>
      </w:r>
      <w:r>
        <w:rPr>
          <w:i/>
          <w:spacing w:val="-3"/>
          <w:sz w:val="24"/>
        </w:rPr>
        <w:t> </w:t>
      </w:r>
      <w:r>
        <w:rPr>
          <w:i/>
          <w:sz w:val="24"/>
        </w:rPr>
        <w:t>2020-21</w:t>
      </w:r>
      <w:r>
        <w:rPr>
          <w:i/>
          <w:spacing w:val="-3"/>
          <w:sz w:val="24"/>
        </w:rPr>
        <w:t> </w:t>
      </w:r>
      <w:r>
        <w:rPr>
          <w:i/>
          <w:sz w:val="24"/>
        </w:rPr>
        <w:t>the</w:t>
      </w:r>
      <w:r>
        <w:rPr>
          <w:i/>
          <w:spacing w:val="-3"/>
          <w:sz w:val="24"/>
        </w:rPr>
        <w:t> </w:t>
      </w:r>
      <w:r>
        <w:rPr>
          <w:i/>
          <w:sz w:val="24"/>
        </w:rPr>
        <w:t>UAC</w:t>
      </w:r>
      <w:r>
        <w:rPr>
          <w:i/>
          <w:spacing w:val="-3"/>
          <w:sz w:val="24"/>
        </w:rPr>
        <w:t> </w:t>
      </w:r>
      <w:r>
        <w:rPr>
          <w:i/>
          <w:sz w:val="24"/>
        </w:rPr>
        <w:t>reviewed</w:t>
      </w:r>
      <w:r>
        <w:rPr>
          <w:i/>
          <w:spacing w:val="-3"/>
          <w:sz w:val="24"/>
        </w:rPr>
        <w:t> </w:t>
      </w:r>
      <w:r>
        <w:rPr>
          <w:i/>
          <w:sz w:val="24"/>
        </w:rPr>
        <w:t>the</w:t>
      </w:r>
      <w:r>
        <w:rPr>
          <w:i/>
          <w:spacing w:val="-3"/>
          <w:sz w:val="24"/>
        </w:rPr>
        <w:t> </w:t>
      </w:r>
      <w:r>
        <w:rPr>
          <w:i/>
          <w:sz w:val="24"/>
        </w:rPr>
        <w:t>assessment</w:t>
      </w:r>
      <w:r>
        <w:rPr>
          <w:i/>
          <w:spacing w:val="-2"/>
          <w:sz w:val="24"/>
        </w:rPr>
        <w:t> </w:t>
      </w:r>
      <w:r>
        <w:rPr>
          <w:i/>
          <w:sz w:val="24"/>
        </w:rPr>
        <w:t>results</w:t>
      </w:r>
      <w:r>
        <w:rPr>
          <w:i/>
          <w:spacing w:val="-3"/>
          <w:sz w:val="24"/>
        </w:rPr>
        <w:t> </w:t>
      </w:r>
      <w:r>
        <w:rPr>
          <w:i/>
          <w:sz w:val="24"/>
        </w:rPr>
        <w:t>and</w:t>
      </w:r>
      <w:r>
        <w:rPr>
          <w:i/>
          <w:spacing w:val="-3"/>
          <w:sz w:val="24"/>
        </w:rPr>
        <w:t> </w:t>
      </w:r>
      <w:r>
        <w:rPr>
          <w:i/>
          <w:sz w:val="24"/>
        </w:rPr>
        <w:t>findings</w:t>
      </w:r>
      <w:r>
        <w:rPr>
          <w:i/>
          <w:spacing w:val="-3"/>
          <w:sz w:val="24"/>
        </w:rPr>
        <w:t> </w:t>
      </w:r>
      <w:r>
        <w:rPr>
          <w:i/>
          <w:sz w:val="24"/>
        </w:rPr>
        <w:t>from</w:t>
      </w:r>
      <w:r>
        <w:rPr>
          <w:i/>
          <w:sz w:val="24"/>
        </w:rPr>
        <w:t> programs in the College of Arts &amp; Sciences and the School of Law. The committee reviewed assessment documents for 29 graduate programs, 40 undergraduate programs, and 27 certificate programs. Five non-academic units were reviewed during this same time period.</w:t>
      </w:r>
    </w:p>
    <w:p>
      <w:pPr>
        <w:pStyle w:val="BodyText"/>
        <w:spacing w:before="183"/>
        <w:ind w:left="720" w:right="323"/>
      </w:pPr>
      <w:r>
        <w:rPr>
          <w:i/>
        </w:rPr>
        <w:t>The Assessment Director and the UAC continue to provide guidance to departments as they</w:t>
      </w:r>
      <w:r>
        <w:rPr/>
        <w:t> develop, implement, and make use of their assessment plans. Collectively, the reviews help determine</w:t>
      </w:r>
      <w:r>
        <w:rPr>
          <w:spacing w:val="-3"/>
        </w:rPr>
        <w:t> </w:t>
      </w:r>
      <w:r>
        <w:rPr/>
        <w:t>the</w:t>
      </w:r>
      <w:r>
        <w:rPr>
          <w:spacing w:val="-4"/>
        </w:rPr>
        <w:t> </w:t>
      </w:r>
      <w:r>
        <w:rPr/>
        <w:t>state</w:t>
      </w:r>
      <w:r>
        <w:rPr>
          <w:spacing w:val="-4"/>
        </w:rPr>
        <w:t> </w:t>
      </w:r>
      <w:r>
        <w:rPr/>
        <w:t>of</w:t>
      </w:r>
      <w:r>
        <w:rPr>
          <w:spacing w:val="-3"/>
        </w:rPr>
        <w:t> </w:t>
      </w:r>
      <w:r>
        <w:rPr/>
        <w:t>assessment</w:t>
      </w:r>
      <w:r>
        <w:rPr>
          <w:spacing w:val="-3"/>
        </w:rPr>
        <w:t> </w:t>
      </w:r>
      <w:r>
        <w:rPr/>
        <w:t>for</w:t>
      </w:r>
      <w:r>
        <w:rPr>
          <w:spacing w:val="-3"/>
        </w:rPr>
        <w:t> </w:t>
      </w:r>
      <w:r>
        <w:rPr/>
        <w:t>the</w:t>
      </w:r>
      <w:r>
        <w:rPr>
          <w:spacing w:val="-4"/>
        </w:rPr>
        <w:t> </w:t>
      </w:r>
      <w:r>
        <w:rPr/>
        <w:t>University. Departments</w:t>
      </w:r>
      <w:r>
        <w:rPr>
          <w:spacing w:val="-3"/>
        </w:rPr>
        <w:t> </w:t>
      </w:r>
      <w:r>
        <w:rPr/>
        <w:t>and</w:t>
      </w:r>
      <w:r>
        <w:rPr>
          <w:spacing w:val="-3"/>
        </w:rPr>
        <w:t> </w:t>
      </w:r>
      <w:r>
        <w:rPr/>
        <w:t>programs</w:t>
      </w:r>
      <w:r>
        <w:rPr>
          <w:spacing w:val="-3"/>
        </w:rPr>
        <w:t> </w:t>
      </w:r>
      <w:r>
        <w:rPr/>
        <w:t>have</w:t>
      </w:r>
      <w:r>
        <w:rPr>
          <w:spacing w:val="-4"/>
        </w:rPr>
        <w:t> </w:t>
      </w:r>
      <w:r>
        <w:rPr/>
        <w:t>specific plans</w:t>
      </w:r>
      <w:r>
        <w:rPr>
          <w:spacing w:val="-3"/>
        </w:rPr>
        <w:t> </w:t>
      </w:r>
      <w:r>
        <w:rPr/>
        <w:t>for</w:t>
      </w:r>
      <w:r>
        <w:rPr>
          <w:spacing w:val="-3"/>
        </w:rPr>
        <w:t> </w:t>
      </w:r>
      <w:r>
        <w:rPr/>
        <w:t>assessment</w:t>
      </w:r>
      <w:r>
        <w:rPr>
          <w:spacing w:val="-3"/>
        </w:rPr>
        <w:t> </w:t>
      </w:r>
      <w:r>
        <w:rPr/>
        <w:t>in</w:t>
      </w:r>
      <w:r>
        <w:rPr>
          <w:spacing w:val="-3"/>
        </w:rPr>
        <w:t> </w:t>
      </w:r>
      <w:r>
        <w:rPr/>
        <w:t>place,</w:t>
      </w:r>
      <w:r>
        <w:rPr>
          <w:spacing w:val="-3"/>
        </w:rPr>
        <w:t> </w:t>
      </w:r>
      <w:r>
        <w:rPr/>
        <w:t>and</w:t>
      </w:r>
      <w:r>
        <w:rPr>
          <w:spacing w:val="-3"/>
        </w:rPr>
        <w:t> </w:t>
      </w:r>
      <w:r>
        <w:rPr/>
        <w:t>there</w:t>
      </w:r>
      <w:r>
        <w:rPr>
          <w:spacing w:val="-5"/>
        </w:rPr>
        <w:t> </w:t>
      </w:r>
      <w:r>
        <w:rPr/>
        <w:t>are</w:t>
      </w:r>
      <w:r>
        <w:rPr>
          <w:spacing w:val="-2"/>
        </w:rPr>
        <w:t> </w:t>
      </w:r>
      <w:r>
        <w:rPr/>
        <w:t>many</w:t>
      </w:r>
      <w:r>
        <w:rPr>
          <w:spacing w:val="-3"/>
        </w:rPr>
        <w:t> </w:t>
      </w:r>
      <w:r>
        <w:rPr/>
        <w:t>programs</w:t>
      </w:r>
      <w:r>
        <w:rPr>
          <w:spacing w:val="-3"/>
        </w:rPr>
        <w:t> </w:t>
      </w:r>
      <w:r>
        <w:rPr/>
        <w:t>where</w:t>
      </w:r>
      <w:r>
        <w:rPr>
          <w:spacing w:val="-4"/>
        </w:rPr>
        <w:t> </w:t>
      </w:r>
      <w:r>
        <w:rPr/>
        <w:t>student</w:t>
      </w:r>
      <w:r>
        <w:rPr>
          <w:spacing w:val="-3"/>
        </w:rPr>
        <w:t> </w:t>
      </w:r>
      <w:r>
        <w:rPr/>
        <w:t>learning</w:t>
      </w:r>
      <w:r>
        <w:rPr>
          <w:spacing w:val="-3"/>
        </w:rPr>
        <w:t> </w:t>
      </w:r>
      <w:r>
        <w:rPr/>
        <w:t>goals</w:t>
      </w:r>
      <w:r>
        <w:rPr>
          <w:spacing w:val="-3"/>
        </w:rPr>
        <w:t> </w:t>
      </w:r>
      <w:r>
        <w:rPr/>
        <w:t>are well-articulated</w:t>
      </w:r>
      <w:r>
        <w:rPr>
          <w:spacing w:val="-1"/>
        </w:rPr>
        <w:t> </w:t>
      </w:r>
      <w:r>
        <w:rPr/>
        <w:t>in</w:t>
      </w:r>
      <w:r>
        <w:rPr>
          <w:spacing w:val="-1"/>
        </w:rPr>
        <w:t> </w:t>
      </w:r>
      <w:r>
        <w:rPr/>
        <w:t>those</w:t>
      </w:r>
      <w:r>
        <w:rPr>
          <w:spacing w:val="-2"/>
        </w:rPr>
        <w:t> </w:t>
      </w:r>
      <w:r>
        <w:rPr/>
        <w:t>assessment</w:t>
      </w:r>
      <w:r>
        <w:rPr>
          <w:spacing w:val="-1"/>
        </w:rPr>
        <w:t> </w:t>
      </w:r>
      <w:r>
        <w:rPr/>
        <w:t>plans.</w:t>
      </w:r>
      <w:r>
        <w:rPr>
          <w:spacing w:val="-1"/>
        </w:rPr>
        <w:t> </w:t>
      </w:r>
      <w:r>
        <w:rPr/>
        <w:t>Moreover,</w:t>
      </w:r>
      <w:r>
        <w:rPr>
          <w:spacing w:val="-1"/>
        </w:rPr>
        <w:t> </w:t>
      </w:r>
      <w:r>
        <w:rPr/>
        <w:t>appropriate</w:t>
      </w:r>
      <w:r>
        <w:rPr>
          <w:spacing w:val="-1"/>
        </w:rPr>
        <w:t> </w:t>
      </w:r>
      <w:r>
        <w:rPr/>
        <w:t>methods of</w:t>
      </w:r>
      <w:r>
        <w:rPr>
          <w:spacing w:val="-1"/>
        </w:rPr>
        <w:t> </w:t>
      </w:r>
      <w:r>
        <w:rPr/>
        <w:t>assessment</w:t>
      </w:r>
      <w:r>
        <w:rPr>
          <w:spacing w:val="-1"/>
        </w:rPr>
        <w:t> </w:t>
      </w:r>
      <w:r>
        <w:rPr/>
        <w:t>are implemented, though there were some instances where a single method of assessment predominates. Furthermore, the committee reviewed several programs where assessment methods need further description. A small number of programs did not provide any results of assessment activities or evidence of actions taken on the basis of assessment results.</w:t>
      </w:r>
    </w:p>
    <w:p>
      <w:pPr>
        <w:pStyle w:val="BodyText"/>
        <w:spacing w:before="1"/>
        <w:rPr>
          <w:i/>
        </w:rPr>
      </w:pPr>
    </w:p>
    <w:p>
      <w:pPr>
        <w:pStyle w:val="ListParagraph"/>
        <w:numPr>
          <w:ilvl w:val="0"/>
          <w:numId w:val="1"/>
        </w:numPr>
        <w:tabs>
          <w:tab w:pos="828" w:val="left" w:leader="none"/>
        </w:tabs>
        <w:spacing w:line="240" w:lineRule="auto" w:before="0" w:after="0"/>
        <w:ind w:left="828" w:right="899" w:hanging="721"/>
        <w:jc w:val="left"/>
        <w:rPr>
          <w:sz w:val="24"/>
        </w:rPr>
      </w:pPr>
      <w:r>
        <w:rPr>
          <w:sz w:val="24"/>
        </w:rPr>
        <w:t>Make</w:t>
      </w:r>
      <w:r>
        <w:rPr>
          <w:spacing w:val="-5"/>
          <w:sz w:val="24"/>
        </w:rPr>
        <w:t> </w:t>
      </w:r>
      <w:r>
        <w:rPr>
          <w:sz w:val="24"/>
        </w:rPr>
        <w:t>recommendations</w:t>
      </w:r>
      <w:r>
        <w:rPr>
          <w:spacing w:val="-4"/>
          <w:sz w:val="24"/>
        </w:rPr>
        <w:t> </w:t>
      </w:r>
      <w:r>
        <w:rPr>
          <w:sz w:val="24"/>
        </w:rPr>
        <w:t>regarding</w:t>
      </w:r>
      <w:r>
        <w:rPr>
          <w:spacing w:val="-4"/>
          <w:sz w:val="24"/>
        </w:rPr>
        <w:t> </w:t>
      </w:r>
      <w:r>
        <w:rPr>
          <w:sz w:val="24"/>
        </w:rPr>
        <w:t>how</w:t>
      </w:r>
      <w:r>
        <w:rPr>
          <w:spacing w:val="-5"/>
          <w:sz w:val="24"/>
        </w:rPr>
        <w:t> </w:t>
      </w:r>
      <w:r>
        <w:rPr>
          <w:sz w:val="24"/>
        </w:rPr>
        <w:t>to</w:t>
      </w:r>
      <w:r>
        <w:rPr>
          <w:spacing w:val="-4"/>
          <w:sz w:val="24"/>
        </w:rPr>
        <w:t> </w:t>
      </w:r>
      <w:r>
        <w:rPr>
          <w:sz w:val="24"/>
        </w:rPr>
        <w:t>address</w:t>
      </w:r>
      <w:r>
        <w:rPr>
          <w:spacing w:val="-2"/>
          <w:sz w:val="24"/>
        </w:rPr>
        <w:t> </w:t>
      </w:r>
      <w:r>
        <w:rPr>
          <w:sz w:val="24"/>
        </w:rPr>
        <w:t>any</w:t>
      </w:r>
      <w:r>
        <w:rPr>
          <w:spacing w:val="-4"/>
          <w:sz w:val="24"/>
        </w:rPr>
        <w:t> </w:t>
      </w:r>
      <w:r>
        <w:rPr>
          <w:sz w:val="24"/>
        </w:rPr>
        <w:t>deficiencies</w:t>
      </w:r>
      <w:r>
        <w:rPr>
          <w:spacing w:val="-4"/>
          <w:sz w:val="24"/>
        </w:rPr>
        <w:t> </w:t>
      </w:r>
      <w:r>
        <w:rPr>
          <w:sz w:val="24"/>
        </w:rPr>
        <w:t>that</w:t>
      </w:r>
      <w:r>
        <w:rPr>
          <w:spacing w:val="-4"/>
          <w:sz w:val="24"/>
        </w:rPr>
        <w:t> </w:t>
      </w:r>
      <w:r>
        <w:rPr>
          <w:sz w:val="24"/>
        </w:rPr>
        <w:t>are</w:t>
      </w:r>
      <w:r>
        <w:rPr>
          <w:spacing w:val="-4"/>
          <w:sz w:val="24"/>
        </w:rPr>
        <w:t> </w:t>
      </w:r>
      <w:r>
        <w:rPr>
          <w:sz w:val="24"/>
        </w:rPr>
        <w:t>revealed</w:t>
      </w:r>
      <w:r>
        <w:rPr>
          <w:spacing w:val="-4"/>
          <w:sz w:val="24"/>
        </w:rPr>
        <w:t> </w:t>
      </w:r>
      <w:r>
        <w:rPr>
          <w:sz w:val="24"/>
        </w:rPr>
        <w:t>by assessment activities.</w:t>
      </w:r>
    </w:p>
    <w:p>
      <w:pPr>
        <w:pStyle w:val="BodyText"/>
        <w:ind w:left="720" w:right="462"/>
      </w:pPr>
      <w:r>
        <w:rPr>
          <w:i/>
        </w:rPr>
        <w:t>The UAC continues to make good progress in supporting academic departments and co-curricular</w:t>
      </w:r>
      <w:r>
        <w:rPr>
          <w:i/>
          <w:spacing w:val="-5"/>
        </w:rPr>
        <w:t> </w:t>
      </w:r>
      <w:r>
        <w:rPr>
          <w:i/>
        </w:rPr>
        <w:t>units</w:t>
      </w:r>
      <w:r>
        <w:rPr>
          <w:i/>
          <w:spacing w:val="-5"/>
        </w:rPr>
        <w:t> </w:t>
      </w:r>
      <w:r>
        <w:rPr>
          <w:i/>
        </w:rPr>
        <w:t>when</w:t>
      </w:r>
      <w:r>
        <w:rPr>
          <w:i/>
          <w:spacing w:val="-5"/>
        </w:rPr>
        <w:t> </w:t>
      </w:r>
      <w:r>
        <w:rPr>
          <w:i/>
        </w:rPr>
        <w:t>submitting</w:t>
      </w:r>
      <w:r>
        <w:rPr>
          <w:i/>
          <w:spacing w:val="-5"/>
        </w:rPr>
        <w:t> </w:t>
      </w:r>
      <w:r>
        <w:rPr>
          <w:i/>
        </w:rPr>
        <w:t>their</w:t>
      </w:r>
      <w:r>
        <w:rPr>
          <w:i/>
          <w:spacing w:val="-5"/>
        </w:rPr>
        <w:t> </w:t>
      </w:r>
      <w:r>
        <w:rPr>
          <w:i/>
        </w:rPr>
        <w:t>annual</w:t>
      </w:r>
      <w:r>
        <w:rPr>
          <w:i/>
          <w:spacing w:val="-5"/>
        </w:rPr>
        <w:t> </w:t>
      </w:r>
      <w:r>
        <w:rPr>
          <w:i/>
        </w:rPr>
        <w:t>assessment</w:t>
      </w:r>
      <w:r>
        <w:rPr>
          <w:i/>
          <w:spacing w:val="-5"/>
        </w:rPr>
        <w:t> </w:t>
      </w:r>
      <w:r>
        <w:rPr>
          <w:i/>
        </w:rPr>
        <w:t>reports.</w:t>
      </w:r>
      <w:r>
        <w:rPr>
          <w:i/>
          <w:spacing w:val="-5"/>
        </w:rPr>
        <w:t> </w:t>
      </w:r>
      <w:r>
        <w:rPr>
          <w:i/>
        </w:rPr>
        <w:t>Implementing</w:t>
      </w:r>
      <w:r>
        <w:rPr>
          <w:i/>
          <w:spacing w:val="-5"/>
        </w:rPr>
        <w:t> </w:t>
      </w:r>
      <w:r>
        <w:rPr>
          <w:i/>
        </w:rPr>
        <w:t>Taskstream</w:t>
      </w:r>
      <w:r>
        <w:rPr/>
        <w:t> is particularly helpful in this regard. Also, the UAC continues to improve the process of providing effective and efficient feedback to academic departments and co-curricular units in a timely manner. This process is now automated by Taskstream.</w:t>
      </w:r>
    </w:p>
    <w:p>
      <w:pPr>
        <w:pStyle w:val="BodyText"/>
        <w:spacing w:after="0"/>
        <w:sectPr>
          <w:pgSz w:w="12240" w:h="15840"/>
          <w:pgMar w:top="1360" w:bottom="280" w:left="1080" w:right="1080"/>
        </w:sectPr>
      </w:pPr>
    </w:p>
    <w:p>
      <w:pPr>
        <w:pStyle w:val="ListParagraph"/>
        <w:numPr>
          <w:ilvl w:val="0"/>
          <w:numId w:val="1"/>
        </w:numPr>
        <w:tabs>
          <w:tab w:pos="828" w:val="left" w:leader="none"/>
          <w:tab w:pos="888" w:val="left" w:leader="none"/>
        </w:tabs>
        <w:spacing w:line="240" w:lineRule="auto" w:before="64" w:after="0"/>
        <w:ind w:left="828" w:right="599" w:hanging="721"/>
        <w:jc w:val="left"/>
        <w:rPr>
          <w:sz w:val="24"/>
        </w:rPr>
      </w:pPr>
      <w:r>
        <w:rPr>
          <w:sz w:val="24"/>
        </w:rPr>
        <w:t>Review</w:t>
      </w:r>
      <w:r>
        <w:rPr>
          <w:spacing w:val="40"/>
          <w:sz w:val="24"/>
        </w:rPr>
        <w:t> </w:t>
      </w:r>
      <w:r>
        <w:rPr>
          <w:sz w:val="24"/>
        </w:rPr>
        <w:t>University</w:t>
      </w:r>
      <w:r>
        <w:rPr>
          <w:spacing w:val="-3"/>
          <w:sz w:val="24"/>
        </w:rPr>
        <w:t> </w:t>
      </w:r>
      <w:r>
        <w:rPr>
          <w:sz w:val="24"/>
        </w:rPr>
        <w:t>Accreditation</w:t>
      </w:r>
      <w:r>
        <w:rPr>
          <w:spacing w:val="-3"/>
          <w:sz w:val="24"/>
        </w:rPr>
        <w:t> </w:t>
      </w:r>
      <w:r>
        <w:rPr>
          <w:sz w:val="24"/>
        </w:rPr>
        <w:t>Report</w:t>
      </w:r>
      <w:r>
        <w:rPr>
          <w:spacing w:val="-3"/>
          <w:sz w:val="24"/>
        </w:rPr>
        <w:t> </w:t>
      </w:r>
      <w:r>
        <w:rPr>
          <w:sz w:val="24"/>
        </w:rPr>
        <w:t>when</w:t>
      </w:r>
      <w:r>
        <w:rPr>
          <w:spacing w:val="-3"/>
          <w:sz w:val="24"/>
        </w:rPr>
        <w:t> </w:t>
      </w:r>
      <w:r>
        <w:rPr>
          <w:sz w:val="24"/>
        </w:rPr>
        <w:t>issued</w:t>
      </w:r>
      <w:r>
        <w:rPr>
          <w:spacing w:val="-3"/>
          <w:sz w:val="24"/>
        </w:rPr>
        <w:t> </w:t>
      </w:r>
      <w:r>
        <w:rPr>
          <w:sz w:val="24"/>
        </w:rPr>
        <w:t>and</w:t>
      </w:r>
      <w:r>
        <w:rPr>
          <w:spacing w:val="-3"/>
          <w:sz w:val="24"/>
        </w:rPr>
        <w:t> </w:t>
      </w:r>
      <w:r>
        <w:rPr>
          <w:sz w:val="24"/>
        </w:rPr>
        <w:t>advise</w:t>
      </w:r>
      <w:r>
        <w:rPr>
          <w:spacing w:val="-3"/>
          <w:sz w:val="24"/>
        </w:rPr>
        <w:t> </w:t>
      </w:r>
      <w:r>
        <w:rPr>
          <w:sz w:val="24"/>
        </w:rPr>
        <w:t>the</w:t>
      </w:r>
      <w:r>
        <w:rPr>
          <w:spacing w:val="-4"/>
          <w:sz w:val="24"/>
        </w:rPr>
        <w:t> </w:t>
      </w:r>
      <w:r>
        <w:rPr>
          <w:sz w:val="24"/>
        </w:rPr>
        <w:t>Senate</w:t>
      </w:r>
      <w:r>
        <w:rPr>
          <w:spacing w:val="-4"/>
          <w:sz w:val="24"/>
        </w:rPr>
        <w:t> </w:t>
      </w:r>
      <w:r>
        <w:rPr>
          <w:sz w:val="24"/>
        </w:rPr>
        <w:t>regarding</w:t>
      </w:r>
      <w:r>
        <w:rPr>
          <w:spacing w:val="-3"/>
          <w:sz w:val="24"/>
        </w:rPr>
        <w:t> </w:t>
      </w:r>
      <w:r>
        <w:rPr>
          <w:sz w:val="24"/>
        </w:rPr>
        <w:t>the Report and</w:t>
      </w:r>
      <w:r>
        <w:rPr>
          <w:spacing w:val="-7"/>
          <w:sz w:val="24"/>
        </w:rPr>
        <w:t> </w:t>
      </w:r>
      <w:r>
        <w:rPr>
          <w:sz w:val="24"/>
        </w:rPr>
        <w:t>its implications.</w:t>
      </w:r>
    </w:p>
    <w:p>
      <w:pPr>
        <w:pStyle w:val="BodyText"/>
        <w:ind w:left="828" w:right="149"/>
      </w:pPr>
      <w:r>
        <w:rPr>
          <w:i/>
        </w:rPr>
        <w:t>The</w:t>
      </w:r>
      <w:r>
        <w:rPr>
          <w:i/>
          <w:spacing w:val="-5"/>
        </w:rPr>
        <w:t> </w:t>
      </w:r>
      <w:r>
        <w:rPr>
          <w:i/>
        </w:rPr>
        <w:t>Assessment</w:t>
      </w:r>
      <w:r>
        <w:rPr>
          <w:i/>
          <w:spacing w:val="-4"/>
        </w:rPr>
        <w:t> </w:t>
      </w:r>
      <w:r>
        <w:rPr>
          <w:i/>
        </w:rPr>
        <w:t>Committee</w:t>
      </w:r>
      <w:r>
        <w:rPr>
          <w:i/>
          <w:spacing w:val="-6"/>
        </w:rPr>
        <w:t> </w:t>
      </w:r>
      <w:r>
        <w:rPr>
          <w:i/>
        </w:rPr>
        <w:t>continues</w:t>
      </w:r>
      <w:r>
        <w:rPr>
          <w:i/>
          <w:spacing w:val="-4"/>
        </w:rPr>
        <w:t> </w:t>
      </w:r>
      <w:r>
        <w:rPr>
          <w:i/>
        </w:rPr>
        <w:t>to</w:t>
      </w:r>
      <w:r>
        <w:rPr>
          <w:i/>
          <w:spacing w:val="-4"/>
        </w:rPr>
        <w:t> </w:t>
      </w:r>
      <w:r>
        <w:rPr>
          <w:i/>
        </w:rPr>
        <w:t>support</w:t>
      </w:r>
      <w:r>
        <w:rPr>
          <w:i/>
          <w:spacing w:val="-4"/>
        </w:rPr>
        <w:t> </w:t>
      </w:r>
      <w:r>
        <w:rPr>
          <w:i/>
        </w:rPr>
        <w:t>institutional</w:t>
      </w:r>
      <w:r>
        <w:rPr>
          <w:i/>
          <w:spacing w:val="-4"/>
        </w:rPr>
        <w:t> </w:t>
      </w:r>
      <w:r>
        <w:rPr>
          <w:i/>
        </w:rPr>
        <w:t>efforts</w:t>
      </w:r>
      <w:r>
        <w:rPr>
          <w:i/>
          <w:spacing w:val="-4"/>
        </w:rPr>
        <w:t> </w:t>
      </w:r>
      <w:r>
        <w:rPr>
          <w:i/>
        </w:rPr>
        <w:t>related</w:t>
      </w:r>
      <w:r>
        <w:rPr>
          <w:i/>
          <w:spacing w:val="-4"/>
        </w:rPr>
        <w:t> </w:t>
      </w:r>
      <w:r>
        <w:rPr>
          <w:i/>
        </w:rPr>
        <w:t>to</w:t>
      </w:r>
      <w:r>
        <w:rPr>
          <w:i/>
          <w:spacing w:val="-4"/>
        </w:rPr>
        <w:t> </w:t>
      </w:r>
      <w:r>
        <w:rPr>
          <w:i/>
        </w:rPr>
        <w:t>accreditation</w:t>
      </w:r>
      <w:r>
        <w:rPr/>
        <w:t> and</w:t>
      </w:r>
      <w:r>
        <w:rPr>
          <w:spacing w:val="40"/>
        </w:rPr>
        <w:t> </w:t>
      </w:r>
      <w:r>
        <w:rPr/>
        <w:t>results from our review of assessment materials will used in UND’s next assurance argument to be written for HLC re-accreditation.</w:t>
      </w:r>
    </w:p>
    <w:p>
      <w:pPr>
        <w:pStyle w:val="ListParagraph"/>
        <w:numPr>
          <w:ilvl w:val="0"/>
          <w:numId w:val="1"/>
        </w:numPr>
        <w:tabs>
          <w:tab w:pos="828" w:val="left" w:leader="none"/>
        </w:tabs>
        <w:spacing w:line="240" w:lineRule="auto" w:before="183" w:after="0"/>
        <w:ind w:left="828" w:right="1081" w:hanging="721"/>
        <w:jc w:val="left"/>
        <w:rPr>
          <w:sz w:val="24"/>
        </w:rPr>
      </w:pPr>
      <w:r>
        <w:rPr>
          <w:sz w:val="24"/>
        </w:rPr>
        <w:t>Provide</w:t>
      </w:r>
      <w:r>
        <w:rPr>
          <w:spacing w:val="-6"/>
          <w:sz w:val="24"/>
        </w:rPr>
        <w:t> </w:t>
      </w:r>
      <w:r>
        <w:rPr>
          <w:sz w:val="24"/>
        </w:rPr>
        <w:t>guidance</w:t>
      </w:r>
      <w:r>
        <w:rPr>
          <w:spacing w:val="-5"/>
          <w:sz w:val="24"/>
        </w:rPr>
        <w:t> </w:t>
      </w:r>
      <w:r>
        <w:rPr>
          <w:sz w:val="24"/>
        </w:rPr>
        <w:t>to</w:t>
      </w:r>
      <w:r>
        <w:rPr>
          <w:spacing w:val="-4"/>
          <w:sz w:val="24"/>
        </w:rPr>
        <w:t> </w:t>
      </w:r>
      <w:r>
        <w:rPr>
          <w:sz w:val="24"/>
        </w:rPr>
        <w:t>the</w:t>
      </w:r>
      <w:r>
        <w:rPr>
          <w:spacing w:val="-3"/>
          <w:sz w:val="24"/>
        </w:rPr>
        <w:t> </w:t>
      </w:r>
      <w:r>
        <w:rPr>
          <w:sz w:val="24"/>
        </w:rPr>
        <w:t>Assessment</w:t>
      </w:r>
      <w:r>
        <w:rPr>
          <w:spacing w:val="-4"/>
          <w:sz w:val="24"/>
        </w:rPr>
        <w:t> </w:t>
      </w:r>
      <w:r>
        <w:rPr>
          <w:sz w:val="24"/>
        </w:rPr>
        <w:t>Director</w:t>
      </w:r>
      <w:r>
        <w:rPr>
          <w:spacing w:val="-4"/>
          <w:sz w:val="24"/>
        </w:rPr>
        <w:t> </w:t>
      </w:r>
      <w:r>
        <w:rPr>
          <w:sz w:val="24"/>
        </w:rPr>
        <w:t>in</w:t>
      </w:r>
      <w:r>
        <w:rPr>
          <w:spacing w:val="-4"/>
          <w:sz w:val="24"/>
        </w:rPr>
        <w:t> </w:t>
      </w:r>
      <w:r>
        <w:rPr>
          <w:sz w:val="24"/>
        </w:rPr>
        <w:t>order</w:t>
      </w:r>
      <w:r>
        <w:rPr>
          <w:spacing w:val="-4"/>
          <w:sz w:val="24"/>
        </w:rPr>
        <w:t> </w:t>
      </w:r>
      <w:r>
        <w:rPr>
          <w:sz w:val="24"/>
        </w:rPr>
        <w:t>to</w:t>
      </w:r>
      <w:r>
        <w:rPr>
          <w:spacing w:val="-4"/>
          <w:sz w:val="24"/>
        </w:rPr>
        <w:t> </w:t>
      </w:r>
      <w:r>
        <w:rPr>
          <w:sz w:val="24"/>
        </w:rPr>
        <w:t>keep</w:t>
      </w:r>
      <w:r>
        <w:rPr>
          <w:spacing w:val="-4"/>
          <w:sz w:val="24"/>
        </w:rPr>
        <w:t> </w:t>
      </w:r>
      <w:r>
        <w:rPr>
          <w:sz w:val="24"/>
        </w:rPr>
        <w:t>the</w:t>
      </w:r>
      <w:r>
        <w:rPr>
          <w:spacing w:val="-4"/>
          <w:sz w:val="24"/>
        </w:rPr>
        <w:t> </w:t>
      </w:r>
      <w:r>
        <w:rPr>
          <w:sz w:val="24"/>
        </w:rPr>
        <w:t>assessment</w:t>
      </w:r>
      <w:r>
        <w:rPr>
          <w:spacing w:val="-4"/>
          <w:sz w:val="24"/>
        </w:rPr>
        <w:t> </w:t>
      </w:r>
      <w:r>
        <w:rPr>
          <w:sz w:val="24"/>
        </w:rPr>
        <w:t>website </w:t>
      </w:r>
      <w:r>
        <w:rPr>
          <w:spacing w:val="-2"/>
          <w:sz w:val="24"/>
        </w:rPr>
        <w:t>current.</w:t>
      </w:r>
    </w:p>
    <w:p>
      <w:pPr>
        <w:pStyle w:val="BodyText"/>
        <w:ind w:left="828" w:right="149"/>
      </w:pPr>
      <w:r>
        <w:rPr>
          <w:i/>
        </w:rPr>
        <w:t>The assessment website is kept current by the Director of Assessment and Accreditation. The</w:t>
      </w:r>
      <w:r>
        <w:rPr/>
        <w:t> UAC</w:t>
      </w:r>
      <w:r>
        <w:rPr>
          <w:spacing w:val="-5"/>
        </w:rPr>
        <w:t> </w:t>
      </w:r>
      <w:r>
        <w:rPr/>
        <w:t>is</w:t>
      </w:r>
      <w:r>
        <w:rPr>
          <w:spacing w:val="-3"/>
        </w:rPr>
        <w:t> </w:t>
      </w:r>
      <w:r>
        <w:rPr/>
        <w:t>available</w:t>
      </w:r>
      <w:r>
        <w:rPr>
          <w:spacing w:val="-4"/>
        </w:rPr>
        <w:t> </w:t>
      </w:r>
      <w:r>
        <w:rPr/>
        <w:t>to</w:t>
      </w:r>
      <w:r>
        <w:rPr>
          <w:spacing w:val="-3"/>
        </w:rPr>
        <w:t> </w:t>
      </w:r>
      <w:r>
        <w:rPr/>
        <w:t>provide</w:t>
      </w:r>
      <w:r>
        <w:rPr>
          <w:spacing w:val="-3"/>
        </w:rPr>
        <w:t> </w:t>
      </w:r>
      <w:r>
        <w:rPr/>
        <w:t>feedback</w:t>
      </w:r>
      <w:r>
        <w:rPr>
          <w:spacing w:val="-4"/>
        </w:rPr>
        <w:t> </w:t>
      </w:r>
      <w:r>
        <w:rPr/>
        <w:t>to</w:t>
      </w:r>
      <w:r>
        <w:rPr>
          <w:spacing w:val="-3"/>
        </w:rPr>
        <w:t> </w:t>
      </w:r>
      <w:r>
        <w:rPr/>
        <w:t>the</w:t>
      </w:r>
      <w:r>
        <w:rPr>
          <w:spacing w:val="-4"/>
        </w:rPr>
        <w:t> </w:t>
      </w:r>
      <w:r>
        <w:rPr/>
        <w:t>Director</w:t>
      </w:r>
      <w:r>
        <w:rPr>
          <w:spacing w:val="-3"/>
        </w:rPr>
        <w:t> </w:t>
      </w:r>
      <w:r>
        <w:rPr/>
        <w:t>as</w:t>
      </w:r>
      <w:r>
        <w:rPr>
          <w:spacing w:val="-3"/>
        </w:rPr>
        <w:t> </w:t>
      </w:r>
      <w:r>
        <w:rPr/>
        <w:t>needed. For</w:t>
      </w:r>
      <w:r>
        <w:rPr>
          <w:spacing w:val="-3"/>
        </w:rPr>
        <w:t> </w:t>
      </w:r>
      <w:r>
        <w:rPr/>
        <w:t>more</w:t>
      </w:r>
      <w:r>
        <w:rPr>
          <w:spacing w:val="-21"/>
        </w:rPr>
        <w:t> </w:t>
      </w:r>
      <w:r>
        <w:rPr/>
        <w:t>information,</w:t>
      </w:r>
      <w:r>
        <w:rPr>
          <w:spacing w:val="-3"/>
        </w:rPr>
        <w:t> </w:t>
      </w:r>
      <w:r>
        <w:rPr/>
        <w:t>please visit: </w:t>
      </w:r>
      <w:hyperlink r:id="rId6">
        <w:r>
          <w:rPr>
            <w:color w:val="0000FF"/>
            <w:u w:val="single" w:color="0000FF"/>
          </w:rPr>
          <w:t>https://campus.und.edu/assessment-accreditation/</w:t>
        </w:r>
      </w:hyperlink>
    </w:p>
    <w:p>
      <w:pPr>
        <w:spacing w:before="276"/>
        <w:ind w:left="107" w:right="149" w:firstLine="0"/>
        <w:jc w:val="left"/>
        <w:rPr>
          <w:sz w:val="24"/>
        </w:rPr>
      </w:pPr>
      <w:r>
        <w:rPr>
          <w:b/>
          <w:sz w:val="24"/>
        </w:rPr>
        <w:t>Summary:</w:t>
      </w:r>
      <w:r>
        <w:rPr>
          <w:b/>
          <w:spacing w:val="-4"/>
          <w:sz w:val="24"/>
        </w:rPr>
        <w:t> </w:t>
      </w:r>
      <w:r>
        <w:rPr>
          <w:sz w:val="24"/>
        </w:rPr>
        <w:t>During</w:t>
      </w:r>
      <w:r>
        <w:rPr>
          <w:spacing w:val="-4"/>
          <w:sz w:val="24"/>
        </w:rPr>
        <w:t> </w:t>
      </w:r>
      <w:r>
        <w:rPr>
          <w:sz w:val="24"/>
        </w:rPr>
        <w:t>2020-2021</w:t>
      </w:r>
      <w:r>
        <w:rPr>
          <w:spacing w:val="-4"/>
          <w:sz w:val="24"/>
        </w:rPr>
        <w:t> </w:t>
      </w:r>
      <w:r>
        <w:rPr>
          <w:sz w:val="24"/>
        </w:rPr>
        <w:t>the</w:t>
      </w:r>
      <w:r>
        <w:rPr>
          <w:spacing w:val="-4"/>
          <w:sz w:val="24"/>
        </w:rPr>
        <w:t> </w:t>
      </w:r>
      <w:r>
        <w:rPr>
          <w:sz w:val="24"/>
        </w:rPr>
        <w:t>University</w:t>
      </w:r>
      <w:r>
        <w:rPr>
          <w:spacing w:val="-4"/>
          <w:sz w:val="24"/>
        </w:rPr>
        <w:t> </w:t>
      </w:r>
      <w:r>
        <w:rPr>
          <w:sz w:val="24"/>
        </w:rPr>
        <w:t>Assessment</w:t>
      </w:r>
      <w:r>
        <w:rPr>
          <w:spacing w:val="-4"/>
          <w:sz w:val="24"/>
        </w:rPr>
        <w:t> </w:t>
      </w:r>
      <w:r>
        <w:rPr>
          <w:sz w:val="24"/>
        </w:rPr>
        <w:t>Committee</w:t>
      </w:r>
      <w:r>
        <w:rPr>
          <w:spacing w:val="-6"/>
          <w:sz w:val="24"/>
        </w:rPr>
        <w:t> </w:t>
      </w:r>
      <w:r>
        <w:rPr>
          <w:sz w:val="24"/>
        </w:rPr>
        <w:t>fulfilled</w:t>
      </w:r>
      <w:r>
        <w:rPr>
          <w:spacing w:val="-4"/>
          <w:sz w:val="24"/>
        </w:rPr>
        <w:t> </w:t>
      </w:r>
      <w:r>
        <w:rPr>
          <w:sz w:val="24"/>
        </w:rPr>
        <w:t>its</w:t>
      </w:r>
      <w:r>
        <w:rPr>
          <w:spacing w:val="-4"/>
          <w:sz w:val="24"/>
        </w:rPr>
        <w:t> </w:t>
      </w:r>
      <w:r>
        <w:rPr>
          <w:sz w:val="24"/>
        </w:rPr>
        <w:t>purpose,</w:t>
      </w:r>
      <w:r>
        <w:rPr>
          <w:spacing w:val="-4"/>
          <w:sz w:val="24"/>
        </w:rPr>
        <w:t> </w:t>
      </w:r>
      <w:r>
        <w:rPr>
          <w:sz w:val="24"/>
        </w:rPr>
        <w:t>function and responsibilities.</w:t>
      </w:r>
    </w:p>
    <w:p>
      <w:pPr>
        <w:pStyle w:val="BodyText"/>
        <w:rPr>
          <w:i w:val="0"/>
        </w:rPr>
      </w:pPr>
    </w:p>
    <w:p>
      <w:pPr>
        <w:pStyle w:val="BodyText"/>
        <w:rPr>
          <w:i w:val="0"/>
        </w:rPr>
      </w:pPr>
    </w:p>
    <w:p>
      <w:pPr>
        <w:spacing w:before="0"/>
        <w:ind w:left="107" w:right="0" w:firstLine="0"/>
        <w:jc w:val="left"/>
        <w:rPr>
          <w:sz w:val="24"/>
        </w:rPr>
      </w:pPr>
      <w:r>
        <w:rPr>
          <w:sz w:val="24"/>
        </w:rPr>
        <w:t>Respectfully</w:t>
      </w:r>
      <w:r>
        <w:rPr>
          <w:spacing w:val="-12"/>
          <w:sz w:val="24"/>
        </w:rPr>
        <w:t> </w:t>
      </w:r>
      <w:r>
        <w:rPr>
          <w:spacing w:val="-2"/>
          <w:sz w:val="24"/>
        </w:rPr>
        <w:t>Submitted,</w:t>
      </w:r>
    </w:p>
    <w:p>
      <w:pPr>
        <w:pStyle w:val="BodyText"/>
        <w:rPr>
          <w:i w:val="0"/>
        </w:rPr>
      </w:pPr>
    </w:p>
    <w:p>
      <w:pPr>
        <w:spacing w:before="0"/>
        <w:ind w:left="107" w:right="5601" w:firstLine="0"/>
        <w:jc w:val="left"/>
        <w:rPr>
          <w:sz w:val="24"/>
        </w:rPr>
      </w:pPr>
      <w:r>
        <w:rPr>
          <w:sz w:val="24"/>
        </w:rPr>
        <w:t>Deborah Worley and Amber Johnson University</w:t>
      </w:r>
      <w:r>
        <w:rPr>
          <w:spacing w:val="-15"/>
          <w:sz w:val="24"/>
        </w:rPr>
        <w:t> </w:t>
      </w:r>
      <w:r>
        <w:rPr>
          <w:sz w:val="24"/>
        </w:rPr>
        <w:t>Assessment</w:t>
      </w:r>
      <w:r>
        <w:rPr>
          <w:spacing w:val="-15"/>
          <w:sz w:val="24"/>
        </w:rPr>
        <w:t> </w:t>
      </w:r>
      <w:r>
        <w:rPr>
          <w:sz w:val="24"/>
        </w:rPr>
        <w:t>Committee</w:t>
      </w:r>
      <w:r>
        <w:rPr>
          <w:spacing w:val="-15"/>
          <w:sz w:val="24"/>
        </w:rPr>
        <w:t> </w:t>
      </w:r>
      <w:r>
        <w:rPr>
          <w:sz w:val="24"/>
        </w:rPr>
        <w:t>Co-</w:t>
      </w:r>
      <w:r>
        <w:rPr>
          <w:sz w:val="24"/>
        </w:rPr>
        <w:t>Chairs </w:t>
      </w:r>
      <w:r>
        <w:rPr>
          <w:spacing w:val="-2"/>
          <w:sz w:val="24"/>
        </w:rPr>
        <w:t>(2020-2021)</w:t>
      </w:r>
    </w:p>
    <w:p>
      <w:pPr>
        <w:pStyle w:val="BodyText"/>
        <w:rPr>
          <w:i w:val="0"/>
        </w:rPr>
      </w:pPr>
    </w:p>
    <w:p>
      <w:pPr>
        <w:spacing w:before="1"/>
        <w:ind w:left="107" w:right="0" w:firstLine="0"/>
        <w:jc w:val="left"/>
        <w:rPr>
          <w:sz w:val="24"/>
        </w:rPr>
      </w:pPr>
      <w:r>
        <w:rPr>
          <w:sz w:val="24"/>
        </w:rPr>
        <w:t>September</w:t>
      </w:r>
      <w:r>
        <w:rPr>
          <w:spacing w:val="-1"/>
          <w:sz w:val="24"/>
        </w:rPr>
        <w:t> </w:t>
      </w:r>
      <w:r>
        <w:rPr>
          <w:sz w:val="24"/>
        </w:rPr>
        <w:t>2,</w:t>
      </w:r>
      <w:r>
        <w:rPr>
          <w:spacing w:val="-1"/>
          <w:sz w:val="24"/>
        </w:rPr>
        <w:t> </w:t>
      </w:r>
      <w:r>
        <w:rPr>
          <w:spacing w:val="-4"/>
          <w:sz w:val="24"/>
        </w:rPr>
        <w:t>2021</w:t>
      </w:r>
    </w:p>
    <w:sectPr>
      <w:pgSz w:w="12240" w:h="15840"/>
      <w:pgMar w:top="156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720" w:hanging="721"/>
        <w:jc w:val="left"/>
      </w:pPr>
      <w:rPr>
        <w:rFonts w:hint="default" w:ascii="Times New Roman" w:hAnsi="Times New Roman" w:eastAsia="Times New Roman" w:cs="Times New Roman"/>
        <w:b w:val="0"/>
        <w:bCs w:val="0"/>
        <w:i w:val="0"/>
        <w:iCs w:val="0"/>
        <w:spacing w:val="-7"/>
        <w:w w:val="100"/>
        <w:sz w:val="22"/>
        <w:szCs w:val="22"/>
        <w:lang w:val="en-US" w:eastAsia="en-US" w:bidi="ar-SA"/>
      </w:rPr>
    </w:lvl>
    <w:lvl w:ilvl="1">
      <w:start w:val="0"/>
      <w:numFmt w:val="bullet"/>
      <w:lvlText w:val="•"/>
      <w:lvlJc w:val="left"/>
      <w:pPr>
        <w:ind w:left="1656" w:hanging="721"/>
      </w:pPr>
      <w:rPr>
        <w:rFonts w:hint="default"/>
        <w:lang w:val="en-US" w:eastAsia="en-US" w:bidi="ar-SA"/>
      </w:rPr>
    </w:lvl>
    <w:lvl w:ilvl="2">
      <w:start w:val="0"/>
      <w:numFmt w:val="bullet"/>
      <w:lvlText w:val="•"/>
      <w:lvlJc w:val="left"/>
      <w:pPr>
        <w:ind w:left="2592" w:hanging="721"/>
      </w:pPr>
      <w:rPr>
        <w:rFonts w:hint="default"/>
        <w:lang w:val="en-US" w:eastAsia="en-US" w:bidi="ar-SA"/>
      </w:rPr>
    </w:lvl>
    <w:lvl w:ilvl="3">
      <w:start w:val="0"/>
      <w:numFmt w:val="bullet"/>
      <w:lvlText w:val="•"/>
      <w:lvlJc w:val="left"/>
      <w:pPr>
        <w:ind w:left="3528" w:hanging="721"/>
      </w:pPr>
      <w:rPr>
        <w:rFonts w:hint="default"/>
        <w:lang w:val="en-US" w:eastAsia="en-US" w:bidi="ar-SA"/>
      </w:rPr>
    </w:lvl>
    <w:lvl w:ilvl="4">
      <w:start w:val="0"/>
      <w:numFmt w:val="bullet"/>
      <w:lvlText w:val="•"/>
      <w:lvlJc w:val="left"/>
      <w:pPr>
        <w:ind w:left="4464" w:hanging="721"/>
      </w:pPr>
      <w:rPr>
        <w:rFonts w:hint="default"/>
        <w:lang w:val="en-US" w:eastAsia="en-US" w:bidi="ar-SA"/>
      </w:rPr>
    </w:lvl>
    <w:lvl w:ilvl="5">
      <w:start w:val="0"/>
      <w:numFmt w:val="bullet"/>
      <w:lvlText w:val="•"/>
      <w:lvlJc w:val="left"/>
      <w:pPr>
        <w:ind w:left="5400" w:hanging="721"/>
      </w:pPr>
      <w:rPr>
        <w:rFonts w:hint="default"/>
        <w:lang w:val="en-US" w:eastAsia="en-US" w:bidi="ar-SA"/>
      </w:rPr>
    </w:lvl>
    <w:lvl w:ilvl="6">
      <w:start w:val="0"/>
      <w:numFmt w:val="bullet"/>
      <w:lvlText w:val="•"/>
      <w:lvlJc w:val="left"/>
      <w:pPr>
        <w:ind w:left="6336" w:hanging="721"/>
      </w:pPr>
      <w:rPr>
        <w:rFonts w:hint="default"/>
        <w:lang w:val="en-US" w:eastAsia="en-US" w:bidi="ar-SA"/>
      </w:rPr>
    </w:lvl>
    <w:lvl w:ilvl="7">
      <w:start w:val="0"/>
      <w:numFmt w:val="bullet"/>
      <w:lvlText w:val="•"/>
      <w:lvlJc w:val="left"/>
      <w:pPr>
        <w:ind w:left="7272" w:hanging="721"/>
      </w:pPr>
      <w:rPr>
        <w:rFonts w:hint="default"/>
        <w:lang w:val="en-US" w:eastAsia="en-US" w:bidi="ar-SA"/>
      </w:rPr>
    </w:lvl>
    <w:lvl w:ilvl="8">
      <w:start w:val="0"/>
      <w:numFmt w:val="bullet"/>
      <w:lvlText w:val="•"/>
      <w:lvlJc w:val="left"/>
      <w:pPr>
        <w:ind w:left="8208" w:hanging="72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i/>
      <w:iCs/>
      <w:sz w:val="24"/>
      <w:szCs w:val="24"/>
      <w:lang w:val="en-US" w:eastAsia="en-US" w:bidi="ar-SA"/>
    </w:rPr>
  </w:style>
  <w:style w:styleId="Heading1" w:type="paragraph">
    <w:name w:val="Heading 1"/>
    <w:basedOn w:val="Normal"/>
    <w:uiPriority w:val="1"/>
    <w:qFormat/>
    <w:pPr>
      <w:ind w:left="3723" w:hanging="1235"/>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183"/>
      <w:ind w:left="828" w:right="168" w:hanging="72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campus.und.edu/assessment-accreditation/_files/docs/univ-asmt-plan-2019-final2.pdf" TargetMode="External"/><Relationship Id="rId6" Type="http://schemas.openxmlformats.org/officeDocument/2006/relationships/hyperlink" Target="https://campus.und.edu/assessment-accreditation/"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Krom</dc:creator>
  <dcterms:created xsi:type="dcterms:W3CDTF">2026-08-03T20:09:34Z</dcterms:created>
  <dcterms:modified xsi:type="dcterms:W3CDTF">2026-08-03T20:09:34Z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Microsoft® Word for Microsoft 365</vt:lpwstr>
  </property>
  <property fmtid="{D5CDD505-2E9C-101B-9397-08002B2CF9AE}" pid="4" name="LastSaved">
    <vt:filetime>2026-08-03T00:00:00Z</vt:filetime>
  </property>
  <property fmtid="{D5CDD505-2E9C-101B-9397-08002B2CF9AE}" pid="5" name="Producer">
    <vt:lpwstr>Microsoft® Word for Microsoft 365</vt:lpwstr>
  </property>
</Properties>
</file>