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F80CA" w14:textId="77777777" w:rsidR="009656F5" w:rsidRDefault="00FA1917">
      <w:pPr>
        <w:pStyle w:val="Heading1"/>
        <w:spacing w:line="362" w:lineRule="auto"/>
      </w:pPr>
      <w:r>
        <w:t>Senate University Assessment Committee Annual</w:t>
      </w:r>
      <w:r>
        <w:rPr>
          <w:spacing w:val="-20"/>
        </w:rPr>
        <w:t xml:space="preserve"> </w:t>
      </w:r>
      <w:r>
        <w:t>Report</w:t>
      </w:r>
      <w:r>
        <w:rPr>
          <w:spacing w:val="-20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Academic</w:t>
      </w:r>
      <w:r>
        <w:rPr>
          <w:spacing w:val="-20"/>
        </w:rPr>
        <w:t xml:space="preserve"> </w:t>
      </w:r>
      <w:r>
        <w:t>Year</w:t>
      </w:r>
      <w:r>
        <w:rPr>
          <w:spacing w:val="-20"/>
        </w:rPr>
        <w:t xml:space="preserve"> </w:t>
      </w:r>
      <w:r>
        <w:t>2024-2025</w:t>
      </w:r>
    </w:p>
    <w:p w14:paraId="0F3F80CB" w14:textId="77777777" w:rsidR="009656F5" w:rsidRDefault="009656F5">
      <w:pPr>
        <w:pStyle w:val="BodyText"/>
        <w:spacing w:before="0"/>
        <w:ind w:left="0"/>
        <w:rPr>
          <w:b/>
          <w:sz w:val="32"/>
        </w:rPr>
      </w:pPr>
    </w:p>
    <w:p w14:paraId="0F3F80CC" w14:textId="77777777" w:rsidR="009656F5" w:rsidRDefault="009656F5">
      <w:pPr>
        <w:pStyle w:val="BodyText"/>
        <w:spacing w:before="134"/>
        <w:ind w:left="0"/>
        <w:rPr>
          <w:b/>
          <w:sz w:val="32"/>
        </w:rPr>
      </w:pPr>
    </w:p>
    <w:p w14:paraId="0F3F80CD" w14:textId="77777777" w:rsidR="009656F5" w:rsidRDefault="00FA1917">
      <w:pPr>
        <w:pStyle w:val="Heading2"/>
        <w:spacing w:before="1"/>
        <w:ind w:left="360"/>
      </w:pPr>
      <w:bookmarkStart w:id="0" w:name="Committee_Membership_2024–2025"/>
      <w:bookmarkEnd w:id="0"/>
      <w:r>
        <w:t>Committee</w:t>
      </w:r>
      <w:r>
        <w:rPr>
          <w:spacing w:val="-12"/>
        </w:rPr>
        <w:t xml:space="preserve"> </w:t>
      </w:r>
      <w:r>
        <w:t>Membership</w:t>
      </w:r>
      <w:r>
        <w:rPr>
          <w:spacing w:val="-9"/>
        </w:rPr>
        <w:t xml:space="preserve"> </w:t>
      </w:r>
      <w:r>
        <w:t>2024–</w:t>
      </w:r>
      <w:r>
        <w:rPr>
          <w:spacing w:val="-4"/>
        </w:rPr>
        <w:t>2025</w:t>
      </w:r>
    </w:p>
    <w:p w14:paraId="0F3F80CE" w14:textId="77777777" w:rsidR="009656F5" w:rsidRDefault="009656F5">
      <w:pPr>
        <w:pStyle w:val="BodyText"/>
        <w:spacing w:before="7"/>
        <w:ind w:left="0"/>
        <w:rPr>
          <w:b/>
        </w:rPr>
      </w:pPr>
    </w:p>
    <w:p w14:paraId="0F3F80CF" w14:textId="77777777" w:rsidR="009656F5" w:rsidRDefault="00FA1917">
      <w:pPr>
        <w:pStyle w:val="BodyText"/>
        <w:spacing w:before="0" w:line="259" w:lineRule="auto"/>
        <w:ind w:left="359"/>
      </w:pPr>
      <w:r>
        <w:t>The</w:t>
      </w:r>
      <w:r>
        <w:rPr>
          <w:spacing w:val="-3"/>
        </w:rPr>
        <w:t xml:space="preserve"> </w:t>
      </w:r>
      <w:r>
        <w:t>University</w:t>
      </w:r>
      <w:r>
        <w:rPr>
          <w:spacing w:val="-1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(UAC)</w:t>
      </w:r>
      <w:r>
        <w:rPr>
          <w:spacing w:val="-5"/>
        </w:rPr>
        <w:t xml:space="preserve"> </w:t>
      </w:r>
      <w:r>
        <w:t>membership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2024–2025</w:t>
      </w:r>
      <w:r>
        <w:rPr>
          <w:spacing w:val="-6"/>
        </w:rPr>
        <w:t xml:space="preserve"> </w:t>
      </w:r>
      <w:r>
        <w:t>academic</w:t>
      </w:r>
      <w:r>
        <w:rPr>
          <w:spacing w:val="-5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included representatives from colleges, administration, and students. Membership included:</w:t>
      </w:r>
    </w:p>
    <w:p w14:paraId="0F3F80D0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159"/>
        <w:ind w:left="1079" w:hanging="359"/>
      </w:pPr>
      <w:r>
        <w:t>Frank</w:t>
      </w:r>
      <w:r>
        <w:rPr>
          <w:spacing w:val="-6"/>
        </w:rPr>
        <w:t xml:space="preserve"> </w:t>
      </w:r>
      <w:r>
        <w:t>Bowman</w:t>
      </w:r>
      <w:r>
        <w:rPr>
          <w:spacing w:val="-5"/>
        </w:rPr>
        <w:t xml:space="preserve"> </w:t>
      </w:r>
      <w:r>
        <w:rPr>
          <w:spacing w:val="-4"/>
        </w:rPr>
        <w:t>(CEM)</w:t>
      </w:r>
    </w:p>
    <w:p w14:paraId="0F3F80D1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Andrew</w:t>
      </w:r>
      <w:r>
        <w:rPr>
          <w:spacing w:val="-5"/>
        </w:rPr>
        <w:t xml:space="preserve"> </w:t>
      </w:r>
      <w:r>
        <w:t>Leonard</w:t>
      </w:r>
      <w:r>
        <w:rPr>
          <w:spacing w:val="-5"/>
        </w:rPr>
        <w:t xml:space="preserve"> </w:t>
      </w:r>
      <w:r>
        <w:rPr>
          <w:spacing w:val="-2"/>
        </w:rPr>
        <w:t>(JDOSAS)</w:t>
      </w:r>
    </w:p>
    <w:p w14:paraId="0F3F80D2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Akorede</w:t>
      </w:r>
      <w:r>
        <w:rPr>
          <w:spacing w:val="-14"/>
        </w:rPr>
        <w:t xml:space="preserve"> </w:t>
      </w:r>
      <w:r>
        <w:t>Teriba</w:t>
      </w:r>
      <w:r>
        <w:rPr>
          <w:spacing w:val="-13"/>
        </w:rPr>
        <w:t xml:space="preserve"> </w:t>
      </w:r>
      <w:r>
        <w:rPr>
          <w:spacing w:val="-4"/>
        </w:rPr>
        <w:t>(EHD)</w:t>
      </w:r>
    </w:p>
    <w:p w14:paraId="0F3F80D3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18"/>
        <w:ind w:left="1079" w:hanging="359"/>
      </w:pPr>
      <w:r>
        <w:t>Karyn</w:t>
      </w:r>
      <w:r>
        <w:rPr>
          <w:spacing w:val="-6"/>
        </w:rPr>
        <w:t xml:space="preserve"> </w:t>
      </w:r>
      <w:r>
        <w:t>Plumm</w:t>
      </w:r>
      <w:r>
        <w:rPr>
          <w:spacing w:val="-4"/>
        </w:rPr>
        <w:t xml:space="preserve"> (ES)</w:t>
      </w:r>
    </w:p>
    <w:p w14:paraId="0F3F80D4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20"/>
        <w:ind w:left="1079" w:hanging="359"/>
      </w:pPr>
      <w:r>
        <w:t>Alex</w:t>
      </w:r>
      <w:r>
        <w:rPr>
          <w:spacing w:val="-7"/>
        </w:rPr>
        <w:t xml:space="preserve"> </w:t>
      </w:r>
      <w:r>
        <w:t>Pokornowski</w:t>
      </w:r>
      <w:r>
        <w:rPr>
          <w:spacing w:val="-7"/>
        </w:rPr>
        <w:t xml:space="preserve"> </w:t>
      </w:r>
      <w:r>
        <w:rPr>
          <w:spacing w:val="-2"/>
        </w:rPr>
        <w:t>(VPSA)</w:t>
      </w:r>
    </w:p>
    <w:p w14:paraId="0F3F80D5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proofErr w:type="spellStart"/>
      <w:r>
        <w:t>Assion</w:t>
      </w:r>
      <w:proofErr w:type="spellEnd"/>
      <w:r>
        <w:rPr>
          <w:spacing w:val="-6"/>
        </w:rPr>
        <w:t xml:space="preserve"> </w:t>
      </w:r>
      <w:r>
        <w:t>Lawson-Body</w:t>
      </w:r>
      <w:r>
        <w:rPr>
          <w:spacing w:val="-7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NCoBPA</w:t>
      </w:r>
      <w:proofErr w:type="spellEnd"/>
      <w:r>
        <w:rPr>
          <w:spacing w:val="-2"/>
        </w:rPr>
        <w:t>)</w:t>
      </w:r>
    </w:p>
    <w:p w14:paraId="0F3F80D6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Shane</w:t>
      </w:r>
      <w:r>
        <w:rPr>
          <w:spacing w:val="-8"/>
        </w:rPr>
        <w:t xml:space="preserve"> </w:t>
      </w:r>
      <w:r>
        <w:t>Schellpfeffer</w:t>
      </w:r>
      <w:r>
        <w:rPr>
          <w:spacing w:val="-8"/>
        </w:rPr>
        <w:t xml:space="preserve"> </w:t>
      </w:r>
      <w:r>
        <w:rPr>
          <w:spacing w:val="-2"/>
        </w:rPr>
        <w:t>(VPAA)</w:t>
      </w:r>
    </w:p>
    <w:p w14:paraId="0F3F80D7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18"/>
        <w:ind w:left="1079" w:hanging="359"/>
      </w:pPr>
      <w:r>
        <w:t>Heather</w:t>
      </w:r>
      <w:r>
        <w:rPr>
          <w:spacing w:val="-16"/>
        </w:rPr>
        <w:t xml:space="preserve"> </w:t>
      </w:r>
      <w:r>
        <w:t>Terrell</w:t>
      </w:r>
      <w:r>
        <w:rPr>
          <w:spacing w:val="-13"/>
        </w:rPr>
        <w:t xml:space="preserve"> </w:t>
      </w:r>
      <w:r>
        <w:rPr>
          <w:spacing w:val="-4"/>
        </w:rPr>
        <w:t>(A&amp;S)</w:t>
      </w:r>
    </w:p>
    <w:p w14:paraId="0F3F80D8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20"/>
        <w:ind w:left="1079" w:hanging="359"/>
      </w:pPr>
      <w:r>
        <w:t>Sarah</w:t>
      </w:r>
      <w:r>
        <w:rPr>
          <w:spacing w:val="-3"/>
        </w:rPr>
        <w:t xml:space="preserve"> </w:t>
      </w:r>
      <w:r>
        <w:t>Sletten</w:t>
      </w:r>
      <w:r>
        <w:rPr>
          <w:spacing w:val="-3"/>
        </w:rPr>
        <w:t xml:space="preserve"> </w:t>
      </w:r>
      <w:r>
        <w:rPr>
          <w:spacing w:val="-2"/>
        </w:rPr>
        <w:t>(SMHS)</w:t>
      </w:r>
    </w:p>
    <w:p w14:paraId="0F3F80D9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Shanna</w:t>
      </w:r>
      <w:r>
        <w:rPr>
          <w:spacing w:val="-3"/>
        </w:rPr>
        <w:t xml:space="preserve"> </w:t>
      </w:r>
      <w:r>
        <w:t>Urban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rPr>
          <w:spacing w:val="-2"/>
        </w:rPr>
        <w:t>(CNPD)</w:t>
      </w:r>
    </w:p>
    <w:p w14:paraId="0F3F80DA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Logan</w:t>
      </w:r>
      <w:r>
        <w:rPr>
          <w:spacing w:val="-4"/>
        </w:rPr>
        <w:t xml:space="preserve"> </w:t>
      </w:r>
      <w:r>
        <w:t>Brown</w:t>
      </w:r>
      <w:r>
        <w:rPr>
          <w:spacing w:val="-7"/>
        </w:rPr>
        <w:t xml:space="preserve"> </w:t>
      </w:r>
      <w:r>
        <w:t>(Student</w:t>
      </w:r>
      <w:r>
        <w:rPr>
          <w:spacing w:val="-2"/>
        </w:rPr>
        <w:t xml:space="preserve"> Representative)</w:t>
      </w:r>
    </w:p>
    <w:p w14:paraId="0F3F80DB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18"/>
        <w:ind w:left="1079" w:hanging="359"/>
      </w:pPr>
      <w:r>
        <w:t>Odele</w:t>
      </w:r>
      <w:r>
        <w:rPr>
          <w:spacing w:val="-4"/>
        </w:rPr>
        <w:t xml:space="preserve"> </w:t>
      </w:r>
      <w:proofErr w:type="spellStart"/>
      <w:r>
        <w:t>Rajpathy</w:t>
      </w:r>
      <w:proofErr w:type="spellEnd"/>
      <w:r>
        <w:rPr>
          <w:spacing w:val="-6"/>
        </w:rPr>
        <w:t xml:space="preserve"> </w:t>
      </w:r>
      <w:r>
        <w:t>(Student</w:t>
      </w:r>
      <w:r>
        <w:rPr>
          <w:spacing w:val="-2"/>
        </w:rPr>
        <w:t xml:space="preserve"> Representative)</w:t>
      </w:r>
    </w:p>
    <w:p w14:paraId="0F3F80DC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</w:pPr>
      <w:r>
        <w:t>Samantha</w:t>
      </w:r>
      <w:r>
        <w:rPr>
          <w:spacing w:val="-7"/>
        </w:rPr>
        <w:t xml:space="preserve"> </w:t>
      </w:r>
      <w:r>
        <w:t>Peterson</w:t>
      </w:r>
      <w:r>
        <w:rPr>
          <w:spacing w:val="-5"/>
        </w:rPr>
        <w:t xml:space="preserve"> </w:t>
      </w:r>
      <w:r>
        <w:t>(Graduate</w:t>
      </w:r>
      <w:r>
        <w:rPr>
          <w:spacing w:val="-5"/>
        </w:rPr>
        <w:t xml:space="preserve"> </w:t>
      </w:r>
      <w:r>
        <w:rPr>
          <w:spacing w:val="-2"/>
        </w:rPr>
        <w:t>Designee)</w:t>
      </w:r>
    </w:p>
    <w:p w14:paraId="0F3F80DD" w14:textId="77777777" w:rsidR="009656F5" w:rsidRDefault="00FA1917">
      <w:pPr>
        <w:pStyle w:val="ListParagraph"/>
        <w:numPr>
          <w:ilvl w:val="0"/>
          <w:numId w:val="1"/>
        </w:numPr>
        <w:tabs>
          <w:tab w:val="left" w:pos="1079"/>
        </w:tabs>
        <w:spacing w:before="20"/>
        <w:ind w:left="1079" w:hanging="359"/>
      </w:pPr>
      <w:r>
        <w:t>Representative</w:t>
      </w:r>
      <w:r>
        <w:rPr>
          <w:spacing w:val="-6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Law</w:t>
      </w:r>
      <w:r>
        <w:rPr>
          <w:spacing w:val="-5"/>
        </w:rPr>
        <w:t xml:space="preserve"> </w:t>
      </w:r>
      <w:r>
        <w:t>(unavailable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2024–</w:t>
      </w:r>
      <w:r>
        <w:rPr>
          <w:spacing w:val="-5"/>
        </w:rPr>
        <w:t>25)</w:t>
      </w:r>
    </w:p>
    <w:p w14:paraId="0F3F80DE" w14:textId="77777777" w:rsidR="009656F5" w:rsidRDefault="00FA1917">
      <w:pPr>
        <w:pStyle w:val="Heading2"/>
        <w:spacing w:before="179"/>
      </w:pPr>
      <w:r>
        <w:t>Charge</w:t>
      </w:r>
      <w:r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Progress</w:t>
      </w:r>
    </w:p>
    <w:p w14:paraId="0F3F80DF" w14:textId="77777777" w:rsidR="009656F5" w:rsidRDefault="00FA1917">
      <w:pPr>
        <w:spacing w:before="182"/>
        <w:ind w:left="359"/>
        <w:rPr>
          <w:b/>
        </w:rPr>
      </w:pPr>
      <w:r>
        <w:rPr>
          <w:b/>
        </w:rPr>
        <w:t>Review</w:t>
      </w:r>
      <w:r>
        <w:rPr>
          <w:b/>
          <w:spacing w:val="-9"/>
        </w:rPr>
        <w:t xml:space="preserve"> </w:t>
      </w:r>
      <w:r>
        <w:rPr>
          <w:b/>
        </w:rPr>
        <w:t>of</w:t>
      </w:r>
      <w:r>
        <w:rPr>
          <w:b/>
          <w:spacing w:val="-14"/>
        </w:rPr>
        <w:t xml:space="preserve"> </w:t>
      </w:r>
      <w:r>
        <w:rPr>
          <w:b/>
        </w:rPr>
        <w:t>Annual</w:t>
      </w:r>
      <w:r>
        <w:rPr>
          <w:b/>
          <w:spacing w:val="-14"/>
        </w:rPr>
        <w:t xml:space="preserve"> </w:t>
      </w:r>
      <w:r>
        <w:rPr>
          <w:b/>
        </w:rPr>
        <w:t>Assessment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Reports</w:t>
      </w:r>
    </w:p>
    <w:p w14:paraId="0F3F80E0" w14:textId="77777777" w:rsidR="009656F5" w:rsidRDefault="00FA1917">
      <w:pPr>
        <w:pStyle w:val="BodyText"/>
        <w:spacing w:before="179" w:line="259" w:lineRule="auto"/>
        <w:ind w:left="359" w:right="454"/>
      </w:pPr>
      <w:r>
        <w:t>The committee conducted multiple reviews of program assessment reports across colleges, ensuring a thorough evaluation process. During this review cycle, the updated UAC rubric was implemented, and members</w:t>
      </w:r>
      <w:r>
        <w:rPr>
          <w:spacing w:val="-2"/>
        </w:rPr>
        <w:t xml:space="preserve"> </w:t>
      </w:r>
      <w:r>
        <w:t>confirmed</w:t>
      </w:r>
      <w:r>
        <w:rPr>
          <w:spacing w:val="-5"/>
        </w:rPr>
        <w:t xml:space="preserve"> </w:t>
      </w:r>
      <w:r>
        <w:t>access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evaluation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t>Self</w:t>
      </w:r>
      <w:r>
        <w:rPr>
          <w:spacing w:val="-1"/>
        </w:rPr>
        <w:t xml:space="preserve"> </w:t>
      </w:r>
      <w:r>
        <w:t>Study</w:t>
      </w:r>
      <w:r>
        <w:rPr>
          <w:spacing w:val="-5"/>
        </w:rPr>
        <w:t xml:space="preserve"> </w:t>
      </w:r>
      <w:r>
        <w:t>(P&amp;SS)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Qualtrics. In addition,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formal assessment</w:t>
      </w:r>
      <w:r>
        <w:rPr>
          <w:spacing w:val="-2"/>
        </w:rPr>
        <w:t xml:space="preserve"> </w:t>
      </w:r>
      <w:r>
        <w:t>feedback</w:t>
      </w:r>
      <w:r>
        <w:rPr>
          <w:spacing w:val="-3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and engaged</w:t>
      </w:r>
      <w:r>
        <w:rPr>
          <w:spacing w:val="-3"/>
        </w:rPr>
        <w:t xml:space="preserve"> </w:t>
      </w:r>
      <w:r>
        <w:t>in discussions regarding policies for missing reports as well as the potential adoption of alternate reporting cycles.</w:t>
      </w:r>
    </w:p>
    <w:p w14:paraId="0F3F80E1" w14:textId="77777777" w:rsidR="009656F5" w:rsidRDefault="00FA1917">
      <w:pPr>
        <w:pStyle w:val="Heading2"/>
        <w:spacing w:before="160"/>
      </w:pPr>
      <w:r>
        <w:t>Assessment</w:t>
      </w:r>
      <w:r>
        <w:rPr>
          <w:spacing w:val="-5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rPr>
          <w:spacing w:val="-2"/>
        </w:rPr>
        <w:t>Oversight</w:t>
      </w:r>
    </w:p>
    <w:p w14:paraId="0F3F80E2" w14:textId="77777777" w:rsidR="009656F5" w:rsidRDefault="00FA1917">
      <w:pPr>
        <w:pStyle w:val="BodyText"/>
        <w:spacing w:before="179" w:line="259" w:lineRule="auto"/>
        <w:ind w:left="359" w:right="179"/>
      </w:pPr>
      <w:r>
        <w:t>The committee provided active oversight of the UND</w:t>
      </w:r>
      <w:r>
        <w:rPr>
          <w:spacing w:val="-15"/>
        </w:rPr>
        <w:t xml:space="preserve"> </w:t>
      </w:r>
      <w:r>
        <w:t>Assessment Plan</w:t>
      </w:r>
      <w:r>
        <w:rPr>
          <w:spacing w:val="-1"/>
        </w:rPr>
        <w:t xml:space="preserve"> </w:t>
      </w:r>
      <w:r>
        <w:t>throughout the year.</w:t>
      </w:r>
      <w:r>
        <w:rPr>
          <w:spacing w:val="-1"/>
        </w:rPr>
        <w:t xml:space="preserve"> </w:t>
      </w:r>
      <w:r>
        <w:t>In December 2024,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revised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approved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plan,</w:t>
      </w:r>
      <w:r>
        <w:rPr>
          <w:spacing w:val="-5"/>
        </w:rPr>
        <w:t xml:space="preserve"> </w:t>
      </w:r>
      <w:r>
        <w:t>followed</w:t>
      </w:r>
      <w:r>
        <w:rPr>
          <w:spacing w:val="-5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further</w:t>
      </w:r>
      <w:r>
        <w:rPr>
          <w:spacing w:val="-1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updated</w:t>
      </w:r>
      <w:r>
        <w:rPr>
          <w:spacing w:val="-2"/>
        </w:rPr>
        <w:t xml:space="preserve"> </w:t>
      </w:r>
      <w:r>
        <w:t>version</w:t>
      </w:r>
      <w:r>
        <w:rPr>
          <w:spacing w:val="-5"/>
        </w:rPr>
        <w:t xml:space="preserve"> </w:t>
      </w:r>
      <w:r>
        <w:t>in February 2025 after consultation with the Senate Executive Committee. The committee also received ongoing updates on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implementation of</w:t>
      </w:r>
      <w:r>
        <w:rPr>
          <w:spacing w:val="-1"/>
        </w:rPr>
        <w:t xml:space="preserve"> </w:t>
      </w:r>
      <w:r>
        <w:t>the plan</w:t>
      </w:r>
      <w:r>
        <w:rPr>
          <w:spacing w:val="-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April</w:t>
      </w:r>
      <w:r>
        <w:rPr>
          <w:spacing w:val="-1"/>
        </w:rPr>
        <w:t xml:space="preserve"> </w:t>
      </w:r>
      <w:r>
        <w:t>2025, which</w:t>
      </w:r>
      <w:r>
        <w:rPr>
          <w:spacing w:val="-2"/>
        </w:rPr>
        <w:t xml:space="preserve"> </w:t>
      </w:r>
      <w:r>
        <w:t>included</w:t>
      </w:r>
      <w:r>
        <w:rPr>
          <w:spacing w:val="-2"/>
        </w:rPr>
        <w:t xml:space="preserve"> </w:t>
      </w:r>
      <w:r>
        <w:t>discussions</w:t>
      </w:r>
      <w:r>
        <w:rPr>
          <w:spacing w:val="-1"/>
        </w:rPr>
        <w:t xml:space="preserve"> </w:t>
      </w:r>
      <w:r>
        <w:t>following a meeting with the Essential Studies Committee.</w:t>
      </w:r>
    </w:p>
    <w:p w14:paraId="0F3F80E3" w14:textId="77777777" w:rsidR="009656F5" w:rsidRDefault="00FA1917">
      <w:pPr>
        <w:pStyle w:val="Heading2"/>
      </w:pPr>
      <w:r>
        <w:t>Committee</w:t>
      </w:r>
      <w:r>
        <w:rPr>
          <w:spacing w:val="-14"/>
        </w:rPr>
        <w:t xml:space="preserve"> </w:t>
      </w:r>
      <w:r>
        <w:t>Training</w:t>
      </w:r>
      <w:r>
        <w:rPr>
          <w:spacing w:val="-11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Capacity</w:t>
      </w:r>
      <w:r>
        <w:rPr>
          <w:spacing w:val="-8"/>
        </w:rPr>
        <w:t xml:space="preserve"> </w:t>
      </w:r>
      <w:r>
        <w:rPr>
          <w:spacing w:val="-2"/>
        </w:rPr>
        <w:t>Building</w:t>
      </w:r>
    </w:p>
    <w:p w14:paraId="0F3F80E4" w14:textId="77777777" w:rsidR="009656F5" w:rsidRDefault="00FA1917">
      <w:pPr>
        <w:pStyle w:val="BodyText"/>
        <w:spacing w:before="181" w:line="259" w:lineRule="auto"/>
        <w:ind w:left="359" w:right="454"/>
      </w:pPr>
      <w:r>
        <w:t>Committee training and capacity building were key priorities during the 2024–2025 academic year. In Fall</w:t>
      </w:r>
      <w:r>
        <w:rPr>
          <w:spacing w:val="-5"/>
        </w:rPr>
        <w:t xml:space="preserve"> </w:t>
      </w:r>
      <w:r>
        <w:t>2024,</w:t>
      </w:r>
      <w:r>
        <w:rPr>
          <w:spacing w:val="-5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participated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sessions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Self</w:t>
      </w:r>
      <w:r>
        <w:rPr>
          <w:spacing w:val="-5"/>
        </w:rPr>
        <w:t xml:space="preserve"> </w:t>
      </w:r>
      <w:r>
        <w:t>Study,</w:t>
      </w:r>
      <w:r>
        <w:rPr>
          <w:spacing w:val="-3"/>
        </w:rPr>
        <w:t xml:space="preserve"> </w:t>
      </w:r>
      <w:r>
        <w:t>program</w:t>
      </w:r>
      <w:r>
        <w:rPr>
          <w:spacing w:val="-2"/>
        </w:rPr>
        <w:t xml:space="preserve"> </w:t>
      </w:r>
      <w:r>
        <w:t>assessment,</w:t>
      </w:r>
      <w:r>
        <w:rPr>
          <w:spacing w:val="-3"/>
        </w:rPr>
        <w:t xml:space="preserve"> </w:t>
      </w:r>
      <w:r>
        <w:t>and assessment review processes to ensure consistency in evaluation practices. This work continued into</w:t>
      </w:r>
    </w:p>
    <w:p w14:paraId="0F3F80E5" w14:textId="77777777" w:rsidR="009656F5" w:rsidRDefault="009656F5">
      <w:pPr>
        <w:pStyle w:val="BodyText"/>
        <w:spacing w:line="259" w:lineRule="auto"/>
        <w:sectPr w:rsidR="009656F5">
          <w:type w:val="continuous"/>
          <w:pgSz w:w="12240" w:h="15840"/>
          <w:pgMar w:top="1380" w:right="1080" w:bottom="280" w:left="1080" w:header="720" w:footer="720" w:gutter="0"/>
          <w:cols w:space="720"/>
        </w:sectPr>
      </w:pPr>
    </w:p>
    <w:p w14:paraId="0F3F80E6" w14:textId="77777777" w:rsidR="009656F5" w:rsidRDefault="00FA1917">
      <w:pPr>
        <w:pStyle w:val="BodyText"/>
        <w:spacing w:before="81" w:line="259" w:lineRule="auto"/>
        <w:ind w:left="360"/>
      </w:pPr>
      <w:r>
        <w:lastRenderedPageBreak/>
        <w:t>Spring</w:t>
      </w:r>
      <w:r>
        <w:rPr>
          <w:spacing w:val="-3"/>
        </w:rPr>
        <w:t xml:space="preserve"> </w:t>
      </w:r>
      <w:r>
        <w:t>2025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ongoing</w:t>
      </w:r>
      <w:r>
        <w:rPr>
          <w:spacing w:val="-6"/>
        </w:rPr>
        <w:t xml:space="preserve"> </w:t>
      </w:r>
      <w:r>
        <w:t>assessment</w:t>
      </w:r>
      <w:r>
        <w:rPr>
          <w:spacing w:val="-2"/>
        </w:rPr>
        <w:t xml:space="preserve"> </w:t>
      </w:r>
      <w:r>
        <w:t>feedback</w:t>
      </w:r>
      <w:r>
        <w:rPr>
          <w:spacing w:val="-6"/>
        </w:rPr>
        <w:t xml:space="preserve"> </w:t>
      </w:r>
      <w:r>
        <w:t>meetings,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opportunities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strengthen alignment and consistency across programs.</w:t>
      </w:r>
    </w:p>
    <w:p w14:paraId="0F3F80E7" w14:textId="77777777" w:rsidR="009656F5" w:rsidRDefault="00FA1917">
      <w:pPr>
        <w:pStyle w:val="Heading2"/>
        <w:spacing w:before="159"/>
      </w:pPr>
      <w:r>
        <w:t>Awards</w:t>
      </w:r>
      <w:r>
        <w:rPr>
          <w:spacing w:val="-1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rPr>
          <w:spacing w:val="-2"/>
        </w:rPr>
        <w:t>Recognition</w:t>
      </w:r>
    </w:p>
    <w:p w14:paraId="0F3F80E8" w14:textId="77777777" w:rsidR="009656F5" w:rsidRDefault="00FA1917">
      <w:pPr>
        <w:pStyle w:val="BodyText"/>
        <w:spacing w:before="181" w:line="259" w:lineRule="auto"/>
        <w:ind w:left="360" w:right="454"/>
      </w:pPr>
      <w:r>
        <w:t>The</w:t>
      </w:r>
      <w:r>
        <w:rPr>
          <w:spacing w:val="-8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managed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Founder’s</w:t>
      </w:r>
      <w:r>
        <w:rPr>
          <w:spacing w:val="-5"/>
        </w:rPr>
        <w:t xml:space="preserve"> </w:t>
      </w:r>
      <w:r>
        <w:t>Day</w:t>
      </w:r>
      <w:r>
        <w:rPr>
          <w:spacing w:val="-14"/>
        </w:rPr>
        <w:t xml:space="preserve"> </w:t>
      </w:r>
      <w:r>
        <w:t>Award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Excellence</w:t>
      </w:r>
      <w:r>
        <w:rPr>
          <w:spacing w:val="-7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Assessment</w:t>
      </w:r>
      <w:r>
        <w:rPr>
          <w:spacing w:val="-4"/>
        </w:rPr>
        <w:t xml:space="preserve"> </w:t>
      </w:r>
      <w:r>
        <w:t>during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2024–2025 academic year, with nominations taking place in spring 2025.</w:t>
      </w:r>
      <w:r>
        <w:rPr>
          <w:spacing w:val="-5"/>
        </w:rPr>
        <w:t xml:space="preserve"> </w:t>
      </w:r>
      <w:r>
        <w:t>As part of this process, the committee recognized exemplary reports from several programs, including Health Studies, German Studies, Teaching &amp; Leadership, Petroleum Engineering, Spanish, Nursing, and Chemical Engineering.</w:t>
      </w:r>
    </w:p>
    <w:p w14:paraId="0F3F80E9" w14:textId="77777777" w:rsidR="009656F5" w:rsidRDefault="00FA1917">
      <w:pPr>
        <w:pStyle w:val="Heading2"/>
        <w:ind w:left="360"/>
      </w:pPr>
      <w:r>
        <w:t>Leadership</w:t>
      </w:r>
      <w:r>
        <w:rPr>
          <w:spacing w:val="-5"/>
        </w:rPr>
        <w:t xml:space="preserve"> </w:t>
      </w:r>
      <w:r>
        <w:t>&amp;</w:t>
      </w:r>
      <w:r>
        <w:rPr>
          <w:spacing w:val="-1"/>
        </w:rPr>
        <w:t xml:space="preserve"> </w:t>
      </w:r>
      <w:r>
        <w:rPr>
          <w:spacing w:val="-2"/>
        </w:rPr>
        <w:t>Membership</w:t>
      </w:r>
    </w:p>
    <w:p w14:paraId="0F3F80EA" w14:textId="77777777" w:rsidR="009656F5" w:rsidRDefault="00FA1917">
      <w:pPr>
        <w:pStyle w:val="BodyText"/>
        <w:spacing w:before="181" w:line="259" w:lineRule="auto"/>
        <w:ind w:left="360" w:right="179"/>
      </w:pPr>
      <w:r>
        <w:t>During the 2024–2025 academic year, the committee was chaired by Shanna Urban. In</w:t>
      </w:r>
      <w:r>
        <w:rPr>
          <w:spacing w:val="-5"/>
        </w:rPr>
        <w:t xml:space="preserve"> </w:t>
      </w:r>
      <w:r>
        <w:t>April 2025, the committee elected Dr.</w:t>
      </w:r>
      <w:r>
        <w:rPr>
          <w:spacing w:val="-6"/>
        </w:rPr>
        <w:t xml:space="preserve"> </w:t>
      </w:r>
      <w:r>
        <w:t>Andrew Leonard to serve as Chair for the 2025–2026 academic year, ensuring a smooth leadership transition.</w:t>
      </w:r>
      <w:r>
        <w:rPr>
          <w:spacing w:val="-2"/>
        </w:rPr>
        <w:t xml:space="preserve"> </w:t>
      </w:r>
      <w:r>
        <w:t>Additionally, student representation was expanded with the inclusion of student</w:t>
      </w:r>
      <w:r>
        <w:rPr>
          <w:spacing w:val="-5"/>
        </w:rPr>
        <w:t xml:space="preserve"> </w:t>
      </w:r>
      <w:r>
        <w:t>members</w:t>
      </w:r>
      <w:r>
        <w:rPr>
          <w:spacing w:val="-3"/>
        </w:rPr>
        <w:t xml:space="preserve"> </w:t>
      </w:r>
      <w:r>
        <w:t>beginning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Fall</w:t>
      </w:r>
      <w:r>
        <w:rPr>
          <w:spacing w:val="-2"/>
        </w:rPr>
        <w:t xml:space="preserve"> </w:t>
      </w:r>
      <w:r>
        <w:t>2024,</w:t>
      </w:r>
      <w:r>
        <w:rPr>
          <w:spacing w:val="-6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broadening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committee’s</w:t>
      </w:r>
      <w:r>
        <w:rPr>
          <w:spacing w:val="-5"/>
        </w:rPr>
        <w:t xml:space="preserve"> </w:t>
      </w:r>
      <w:r>
        <w:t>perspective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engagement.</w:t>
      </w:r>
    </w:p>
    <w:p w14:paraId="0F3F80EB" w14:textId="77777777" w:rsidR="009656F5" w:rsidRDefault="00FA1917">
      <w:pPr>
        <w:pStyle w:val="Heading2"/>
        <w:ind w:left="360"/>
      </w:pPr>
      <w:bookmarkStart w:id="1" w:name="Assessment_Report_Feedback"/>
      <w:bookmarkEnd w:id="1"/>
      <w:r>
        <w:t>Assessment</w:t>
      </w:r>
      <w:r>
        <w:rPr>
          <w:spacing w:val="-6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rPr>
          <w:spacing w:val="-2"/>
        </w:rPr>
        <w:t>Feedback</w:t>
      </w:r>
    </w:p>
    <w:p w14:paraId="0F3F80EC" w14:textId="77777777" w:rsidR="009656F5" w:rsidRDefault="009656F5">
      <w:pPr>
        <w:pStyle w:val="BodyText"/>
        <w:spacing w:before="7"/>
        <w:ind w:left="0"/>
        <w:rPr>
          <w:b/>
        </w:rPr>
      </w:pPr>
    </w:p>
    <w:p w14:paraId="0F3F80ED" w14:textId="77777777" w:rsidR="009656F5" w:rsidRDefault="00FA1917">
      <w:pPr>
        <w:pStyle w:val="BodyText"/>
        <w:spacing w:before="0" w:line="259" w:lineRule="auto"/>
        <w:ind w:left="360" w:right="179"/>
      </w:pPr>
      <w:r>
        <w:t>The</w:t>
      </w:r>
      <w:r>
        <w:rPr>
          <w:spacing w:val="-4"/>
        </w:rPr>
        <w:t xml:space="preserve"> </w:t>
      </w:r>
      <w:r>
        <w:t>University</w:t>
      </w:r>
      <w:r>
        <w:rPr>
          <w:spacing w:val="-14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179</w:t>
      </w:r>
      <w:r>
        <w:rPr>
          <w:spacing w:val="-6"/>
        </w:rPr>
        <w:t xml:space="preserve"> </w:t>
      </w:r>
      <w:r>
        <w:t>assessment</w:t>
      </w:r>
      <w:r>
        <w:rPr>
          <w:spacing w:val="-5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2024–2025</w:t>
      </w:r>
      <w:r>
        <w:rPr>
          <w:spacing w:val="-3"/>
        </w:rPr>
        <w:t xml:space="preserve"> </w:t>
      </w:r>
      <w:r>
        <w:t>academic year. Reports were evaluated in several categories, with results as follows:</w:t>
      </w:r>
    </w:p>
    <w:p w14:paraId="0F3F80EE" w14:textId="77777777" w:rsidR="009656F5" w:rsidRDefault="009656F5">
      <w:pPr>
        <w:pStyle w:val="BodyText"/>
        <w:spacing w:before="9"/>
        <w:ind w:left="0"/>
        <w:rPr>
          <w:sz w:val="13"/>
        </w:rPr>
      </w:pPr>
    </w:p>
    <w:tbl>
      <w:tblPr>
        <w:tblW w:w="0" w:type="auto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27"/>
        <w:gridCol w:w="1833"/>
        <w:gridCol w:w="1835"/>
        <w:gridCol w:w="1833"/>
        <w:gridCol w:w="1835"/>
      </w:tblGrid>
      <w:tr w:rsidR="009656F5" w14:paraId="0F3F80F4" w14:textId="77777777">
        <w:trPr>
          <w:trHeight w:val="434"/>
        </w:trPr>
        <w:tc>
          <w:tcPr>
            <w:tcW w:w="1927" w:type="dxa"/>
          </w:tcPr>
          <w:p w14:paraId="0F3F80EF" w14:textId="77777777" w:rsidR="009656F5" w:rsidRDefault="00FA1917">
            <w:pPr>
              <w:pStyle w:val="TableParagraph"/>
              <w:ind w:left="107"/>
              <w:jc w:val="left"/>
              <w:rPr>
                <w:b/>
              </w:rPr>
            </w:pPr>
            <w:r>
              <w:rPr>
                <w:b/>
                <w:spacing w:val="-2"/>
              </w:rPr>
              <w:t>Category</w:t>
            </w:r>
          </w:p>
        </w:tc>
        <w:tc>
          <w:tcPr>
            <w:tcW w:w="1833" w:type="dxa"/>
          </w:tcPr>
          <w:p w14:paraId="0F3F80F0" w14:textId="77777777" w:rsidR="009656F5" w:rsidRDefault="00FA1917">
            <w:pPr>
              <w:pStyle w:val="TableParagraph"/>
              <w:ind w:right="4"/>
              <w:rPr>
                <w:b/>
              </w:rPr>
            </w:pPr>
            <w:r>
              <w:rPr>
                <w:b/>
              </w:rPr>
              <w:t>Not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Present</w:t>
            </w:r>
          </w:p>
        </w:tc>
        <w:tc>
          <w:tcPr>
            <w:tcW w:w="1835" w:type="dxa"/>
          </w:tcPr>
          <w:p w14:paraId="0F3F80F1" w14:textId="77777777" w:rsidR="009656F5" w:rsidRDefault="00FA1917">
            <w:pPr>
              <w:pStyle w:val="TableParagraph"/>
              <w:ind w:left="17" w:right="5"/>
              <w:rPr>
                <w:b/>
              </w:rPr>
            </w:pPr>
            <w:r>
              <w:rPr>
                <w:b/>
                <w:spacing w:val="-2"/>
              </w:rPr>
              <w:t>Developing</w:t>
            </w:r>
          </w:p>
        </w:tc>
        <w:tc>
          <w:tcPr>
            <w:tcW w:w="1833" w:type="dxa"/>
          </w:tcPr>
          <w:p w14:paraId="0F3F80F2" w14:textId="77777777" w:rsidR="009656F5" w:rsidRDefault="00FA1917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Acceptable</w:t>
            </w:r>
          </w:p>
        </w:tc>
        <w:tc>
          <w:tcPr>
            <w:tcW w:w="1835" w:type="dxa"/>
          </w:tcPr>
          <w:p w14:paraId="0F3F80F3" w14:textId="77777777" w:rsidR="009656F5" w:rsidRDefault="00FA1917">
            <w:pPr>
              <w:pStyle w:val="TableParagraph"/>
              <w:ind w:left="17"/>
              <w:rPr>
                <w:b/>
              </w:rPr>
            </w:pPr>
            <w:r>
              <w:rPr>
                <w:b/>
                <w:spacing w:val="-2"/>
              </w:rPr>
              <w:t>Exemplary</w:t>
            </w:r>
          </w:p>
        </w:tc>
      </w:tr>
      <w:tr w:rsidR="009656F5" w14:paraId="0F3F80FA" w14:textId="77777777">
        <w:trPr>
          <w:trHeight w:val="431"/>
        </w:trPr>
        <w:tc>
          <w:tcPr>
            <w:tcW w:w="1927" w:type="dxa"/>
          </w:tcPr>
          <w:p w14:paraId="0F3F80F5" w14:textId="77777777" w:rsidR="009656F5" w:rsidRDefault="00FA1917">
            <w:pPr>
              <w:pStyle w:val="TableParagraph"/>
              <w:ind w:left="107"/>
              <w:jc w:val="left"/>
            </w:pPr>
            <w:r>
              <w:t>Program</w:t>
            </w:r>
            <w:r>
              <w:rPr>
                <w:spacing w:val="-2"/>
              </w:rPr>
              <w:t xml:space="preserve"> Outcomes</w:t>
            </w:r>
          </w:p>
        </w:tc>
        <w:tc>
          <w:tcPr>
            <w:tcW w:w="1833" w:type="dxa"/>
          </w:tcPr>
          <w:p w14:paraId="0F3F80F6" w14:textId="77777777" w:rsidR="009656F5" w:rsidRDefault="00FA1917">
            <w:pPr>
              <w:pStyle w:val="TableParagraph"/>
              <w:ind w:right="3"/>
            </w:pPr>
            <w:r>
              <w:rPr>
                <w:spacing w:val="-10"/>
              </w:rPr>
              <w:t>1</w:t>
            </w:r>
          </w:p>
        </w:tc>
        <w:tc>
          <w:tcPr>
            <w:tcW w:w="1835" w:type="dxa"/>
          </w:tcPr>
          <w:p w14:paraId="0F3F80F7" w14:textId="77777777" w:rsidR="009656F5" w:rsidRDefault="00FA1917">
            <w:pPr>
              <w:pStyle w:val="TableParagraph"/>
              <w:ind w:left="17" w:right="8"/>
            </w:pPr>
            <w:r>
              <w:rPr>
                <w:spacing w:val="-5"/>
              </w:rPr>
              <w:t>26</w:t>
            </w:r>
          </w:p>
        </w:tc>
        <w:tc>
          <w:tcPr>
            <w:tcW w:w="1833" w:type="dxa"/>
          </w:tcPr>
          <w:p w14:paraId="0F3F80F8" w14:textId="77777777" w:rsidR="009656F5" w:rsidRDefault="00FA1917">
            <w:pPr>
              <w:pStyle w:val="TableParagraph"/>
            </w:pPr>
            <w:r>
              <w:rPr>
                <w:spacing w:val="-5"/>
              </w:rPr>
              <w:t>104</w:t>
            </w:r>
          </w:p>
        </w:tc>
        <w:tc>
          <w:tcPr>
            <w:tcW w:w="1835" w:type="dxa"/>
          </w:tcPr>
          <w:p w14:paraId="0F3F80F9" w14:textId="77777777" w:rsidR="009656F5" w:rsidRDefault="00FA1917">
            <w:pPr>
              <w:pStyle w:val="TableParagraph"/>
              <w:ind w:left="17" w:right="4"/>
            </w:pPr>
            <w:r>
              <w:rPr>
                <w:spacing w:val="-5"/>
              </w:rPr>
              <w:t>48</w:t>
            </w:r>
          </w:p>
        </w:tc>
      </w:tr>
      <w:tr w:rsidR="009656F5" w14:paraId="0F3F8100" w14:textId="77777777">
        <w:trPr>
          <w:trHeight w:val="434"/>
        </w:trPr>
        <w:tc>
          <w:tcPr>
            <w:tcW w:w="1927" w:type="dxa"/>
          </w:tcPr>
          <w:p w14:paraId="0F3F80FB" w14:textId="77777777" w:rsidR="009656F5" w:rsidRDefault="00FA1917">
            <w:pPr>
              <w:pStyle w:val="TableParagraph"/>
              <w:spacing w:before="3"/>
              <w:ind w:left="107"/>
              <w:jc w:val="left"/>
            </w:pPr>
            <w:r>
              <w:t>Program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Measures</w:t>
            </w:r>
          </w:p>
        </w:tc>
        <w:tc>
          <w:tcPr>
            <w:tcW w:w="1833" w:type="dxa"/>
          </w:tcPr>
          <w:p w14:paraId="0F3F80FC" w14:textId="77777777" w:rsidR="009656F5" w:rsidRDefault="00FA1917">
            <w:pPr>
              <w:pStyle w:val="TableParagraph"/>
              <w:spacing w:before="3"/>
              <w:ind w:right="3"/>
            </w:pPr>
            <w:r>
              <w:rPr>
                <w:spacing w:val="-10"/>
              </w:rPr>
              <w:t>3</w:t>
            </w:r>
          </w:p>
        </w:tc>
        <w:tc>
          <w:tcPr>
            <w:tcW w:w="1835" w:type="dxa"/>
          </w:tcPr>
          <w:p w14:paraId="0F3F80FD" w14:textId="77777777" w:rsidR="009656F5" w:rsidRDefault="00FA1917">
            <w:pPr>
              <w:pStyle w:val="TableParagraph"/>
              <w:spacing w:before="3"/>
              <w:ind w:left="17" w:right="8"/>
            </w:pPr>
            <w:r>
              <w:rPr>
                <w:spacing w:val="-5"/>
              </w:rPr>
              <w:t>32</w:t>
            </w:r>
          </w:p>
        </w:tc>
        <w:tc>
          <w:tcPr>
            <w:tcW w:w="1833" w:type="dxa"/>
          </w:tcPr>
          <w:p w14:paraId="0F3F80FE" w14:textId="77777777" w:rsidR="009656F5" w:rsidRDefault="00FA1917">
            <w:pPr>
              <w:pStyle w:val="TableParagraph"/>
              <w:spacing w:before="3"/>
            </w:pPr>
            <w:r>
              <w:rPr>
                <w:spacing w:val="-5"/>
              </w:rPr>
              <w:t>99</w:t>
            </w:r>
          </w:p>
        </w:tc>
        <w:tc>
          <w:tcPr>
            <w:tcW w:w="1835" w:type="dxa"/>
          </w:tcPr>
          <w:p w14:paraId="0F3F80FF" w14:textId="77777777" w:rsidR="009656F5" w:rsidRDefault="00FA1917">
            <w:pPr>
              <w:pStyle w:val="TableParagraph"/>
              <w:spacing w:before="3"/>
              <w:ind w:left="17" w:right="4"/>
            </w:pPr>
            <w:r>
              <w:rPr>
                <w:spacing w:val="-5"/>
              </w:rPr>
              <w:t>45</w:t>
            </w:r>
          </w:p>
        </w:tc>
      </w:tr>
      <w:tr w:rsidR="009656F5" w14:paraId="0F3F8106" w14:textId="77777777">
        <w:trPr>
          <w:trHeight w:val="433"/>
        </w:trPr>
        <w:tc>
          <w:tcPr>
            <w:tcW w:w="1927" w:type="dxa"/>
          </w:tcPr>
          <w:p w14:paraId="0F3F8101" w14:textId="77777777" w:rsidR="009656F5" w:rsidRDefault="00FA1917">
            <w:pPr>
              <w:pStyle w:val="TableParagraph"/>
              <w:ind w:left="107"/>
              <w:jc w:val="left"/>
            </w:pPr>
            <w:r>
              <w:t>Program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Targets</w:t>
            </w:r>
          </w:p>
        </w:tc>
        <w:tc>
          <w:tcPr>
            <w:tcW w:w="1833" w:type="dxa"/>
          </w:tcPr>
          <w:p w14:paraId="0F3F8102" w14:textId="77777777" w:rsidR="009656F5" w:rsidRDefault="00FA1917">
            <w:pPr>
              <w:pStyle w:val="TableParagraph"/>
              <w:ind w:right="3"/>
            </w:pPr>
            <w:r>
              <w:rPr>
                <w:spacing w:val="-10"/>
              </w:rPr>
              <w:t>3</w:t>
            </w:r>
          </w:p>
        </w:tc>
        <w:tc>
          <w:tcPr>
            <w:tcW w:w="1835" w:type="dxa"/>
          </w:tcPr>
          <w:p w14:paraId="0F3F8103" w14:textId="77777777" w:rsidR="009656F5" w:rsidRDefault="00FA1917">
            <w:pPr>
              <w:pStyle w:val="TableParagraph"/>
              <w:ind w:left="17" w:right="8"/>
            </w:pPr>
            <w:r>
              <w:rPr>
                <w:spacing w:val="-5"/>
              </w:rPr>
              <w:t>18</w:t>
            </w:r>
          </w:p>
        </w:tc>
        <w:tc>
          <w:tcPr>
            <w:tcW w:w="1833" w:type="dxa"/>
          </w:tcPr>
          <w:p w14:paraId="0F3F8104" w14:textId="77777777" w:rsidR="009656F5" w:rsidRDefault="00FA1917">
            <w:pPr>
              <w:pStyle w:val="TableParagraph"/>
            </w:pPr>
            <w:r>
              <w:rPr>
                <w:spacing w:val="-5"/>
              </w:rPr>
              <w:t>136</w:t>
            </w:r>
          </w:p>
        </w:tc>
        <w:tc>
          <w:tcPr>
            <w:tcW w:w="1835" w:type="dxa"/>
          </w:tcPr>
          <w:p w14:paraId="0F3F8105" w14:textId="77777777" w:rsidR="009656F5" w:rsidRDefault="00FA1917">
            <w:pPr>
              <w:pStyle w:val="TableParagraph"/>
              <w:ind w:left="17" w:right="4"/>
            </w:pPr>
            <w:r>
              <w:rPr>
                <w:spacing w:val="-5"/>
              </w:rPr>
              <w:t>22</w:t>
            </w:r>
          </w:p>
        </w:tc>
      </w:tr>
      <w:tr w:rsidR="009656F5" w14:paraId="0F3F810C" w14:textId="77777777">
        <w:trPr>
          <w:trHeight w:val="431"/>
        </w:trPr>
        <w:tc>
          <w:tcPr>
            <w:tcW w:w="1927" w:type="dxa"/>
          </w:tcPr>
          <w:p w14:paraId="0F3F8107" w14:textId="77777777" w:rsidR="009656F5" w:rsidRDefault="00FA1917">
            <w:pPr>
              <w:pStyle w:val="TableParagraph"/>
              <w:ind w:left="107"/>
              <w:jc w:val="left"/>
            </w:pPr>
            <w:r>
              <w:t>Program</w:t>
            </w:r>
            <w:r>
              <w:rPr>
                <w:spacing w:val="-2"/>
              </w:rPr>
              <w:t xml:space="preserve"> Results</w:t>
            </w:r>
          </w:p>
        </w:tc>
        <w:tc>
          <w:tcPr>
            <w:tcW w:w="1833" w:type="dxa"/>
          </w:tcPr>
          <w:p w14:paraId="0F3F8108" w14:textId="77777777" w:rsidR="009656F5" w:rsidRDefault="00FA1917">
            <w:pPr>
              <w:pStyle w:val="TableParagraph"/>
              <w:ind w:right="3"/>
            </w:pPr>
            <w:r>
              <w:rPr>
                <w:spacing w:val="-10"/>
              </w:rPr>
              <w:t>7</w:t>
            </w:r>
          </w:p>
        </w:tc>
        <w:tc>
          <w:tcPr>
            <w:tcW w:w="1835" w:type="dxa"/>
          </w:tcPr>
          <w:p w14:paraId="0F3F8109" w14:textId="77777777" w:rsidR="009656F5" w:rsidRDefault="00FA1917">
            <w:pPr>
              <w:pStyle w:val="TableParagraph"/>
              <w:ind w:left="17" w:right="8"/>
            </w:pPr>
            <w:r>
              <w:rPr>
                <w:spacing w:val="-5"/>
              </w:rPr>
              <w:t>16</w:t>
            </w:r>
          </w:p>
        </w:tc>
        <w:tc>
          <w:tcPr>
            <w:tcW w:w="1833" w:type="dxa"/>
          </w:tcPr>
          <w:p w14:paraId="0F3F810A" w14:textId="77777777" w:rsidR="009656F5" w:rsidRDefault="00FA1917">
            <w:pPr>
              <w:pStyle w:val="TableParagraph"/>
            </w:pPr>
            <w:r>
              <w:rPr>
                <w:spacing w:val="-5"/>
              </w:rPr>
              <w:t>124</w:t>
            </w:r>
          </w:p>
        </w:tc>
        <w:tc>
          <w:tcPr>
            <w:tcW w:w="1835" w:type="dxa"/>
          </w:tcPr>
          <w:p w14:paraId="0F3F810B" w14:textId="77777777" w:rsidR="009656F5" w:rsidRDefault="00FA1917">
            <w:pPr>
              <w:pStyle w:val="TableParagraph"/>
              <w:ind w:left="17" w:right="4"/>
            </w:pPr>
            <w:r>
              <w:rPr>
                <w:spacing w:val="-5"/>
              </w:rPr>
              <w:t>32</w:t>
            </w:r>
          </w:p>
        </w:tc>
      </w:tr>
      <w:tr w:rsidR="009656F5" w14:paraId="0F3F8112" w14:textId="77777777">
        <w:trPr>
          <w:trHeight w:val="434"/>
        </w:trPr>
        <w:tc>
          <w:tcPr>
            <w:tcW w:w="1927" w:type="dxa"/>
          </w:tcPr>
          <w:p w14:paraId="0F3F810D" w14:textId="77777777" w:rsidR="009656F5" w:rsidRDefault="00FA1917">
            <w:pPr>
              <w:pStyle w:val="TableParagraph"/>
              <w:ind w:left="107"/>
              <w:jc w:val="left"/>
            </w:pPr>
            <w:r>
              <w:t>Program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Findings</w:t>
            </w:r>
          </w:p>
        </w:tc>
        <w:tc>
          <w:tcPr>
            <w:tcW w:w="1833" w:type="dxa"/>
          </w:tcPr>
          <w:p w14:paraId="0F3F810E" w14:textId="77777777" w:rsidR="009656F5" w:rsidRDefault="00FA1917">
            <w:pPr>
              <w:pStyle w:val="TableParagraph"/>
              <w:ind w:right="3"/>
            </w:pPr>
            <w:r>
              <w:rPr>
                <w:spacing w:val="-5"/>
              </w:rPr>
              <w:t>13</w:t>
            </w:r>
          </w:p>
        </w:tc>
        <w:tc>
          <w:tcPr>
            <w:tcW w:w="1835" w:type="dxa"/>
          </w:tcPr>
          <w:p w14:paraId="0F3F810F" w14:textId="77777777" w:rsidR="009656F5" w:rsidRDefault="00FA1917">
            <w:pPr>
              <w:pStyle w:val="TableParagraph"/>
              <w:ind w:left="17" w:right="8"/>
            </w:pPr>
            <w:r>
              <w:rPr>
                <w:spacing w:val="-5"/>
              </w:rPr>
              <w:t>39</w:t>
            </w:r>
          </w:p>
        </w:tc>
        <w:tc>
          <w:tcPr>
            <w:tcW w:w="1833" w:type="dxa"/>
          </w:tcPr>
          <w:p w14:paraId="0F3F8110" w14:textId="77777777" w:rsidR="009656F5" w:rsidRDefault="00FA1917">
            <w:pPr>
              <w:pStyle w:val="TableParagraph"/>
            </w:pPr>
            <w:r>
              <w:rPr>
                <w:spacing w:val="-5"/>
              </w:rPr>
              <w:t>97</w:t>
            </w:r>
          </w:p>
        </w:tc>
        <w:tc>
          <w:tcPr>
            <w:tcW w:w="1835" w:type="dxa"/>
          </w:tcPr>
          <w:p w14:paraId="0F3F8111" w14:textId="77777777" w:rsidR="009656F5" w:rsidRDefault="00FA1917">
            <w:pPr>
              <w:pStyle w:val="TableParagraph"/>
              <w:ind w:left="17" w:right="4"/>
            </w:pPr>
            <w:r>
              <w:rPr>
                <w:spacing w:val="-5"/>
              </w:rPr>
              <w:t>30</w:t>
            </w:r>
          </w:p>
        </w:tc>
      </w:tr>
      <w:tr w:rsidR="009656F5" w14:paraId="0F3F8118" w14:textId="77777777">
        <w:trPr>
          <w:trHeight w:val="431"/>
        </w:trPr>
        <w:tc>
          <w:tcPr>
            <w:tcW w:w="1927" w:type="dxa"/>
          </w:tcPr>
          <w:p w14:paraId="0F3F8113" w14:textId="77777777" w:rsidR="009656F5" w:rsidRDefault="00FA1917">
            <w:pPr>
              <w:pStyle w:val="TableParagraph"/>
              <w:ind w:left="107"/>
              <w:jc w:val="left"/>
            </w:pPr>
            <w:r>
              <w:rPr>
                <w:spacing w:val="-2"/>
              </w:rPr>
              <w:t>Program</w:t>
            </w:r>
            <w:r>
              <w:t xml:space="preserve"> </w:t>
            </w:r>
            <w:r>
              <w:rPr>
                <w:spacing w:val="-2"/>
              </w:rPr>
              <w:t>Actions</w:t>
            </w:r>
          </w:p>
        </w:tc>
        <w:tc>
          <w:tcPr>
            <w:tcW w:w="1833" w:type="dxa"/>
          </w:tcPr>
          <w:p w14:paraId="0F3F8114" w14:textId="77777777" w:rsidR="009656F5" w:rsidRDefault="00FA1917">
            <w:pPr>
              <w:pStyle w:val="TableParagraph"/>
              <w:ind w:right="3"/>
            </w:pPr>
            <w:r>
              <w:rPr>
                <w:spacing w:val="-5"/>
              </w:rPr>
              <w:t>48</w:t>
            </w:r>
          </w:p>
        </w:tc>
        <w:tc>
          <w:tcPr>
            <w:tcW w:w="1835" w:type="dxa"/>
          </w:tcPr>
          <w:p w14:paraId="0F3F8115" w14:textId="77777777" w:rsidR="009656F5" w:rsidRDefault="00FA1917">
            <w:pPr>
              <w:pStyle w:val="TableParagraph"/>
              <w:ind w:left="17" w:right="8"/>
            </w:pPr>
            <w:r>
              <w:rPr>
                <w:spacing w:val="-5"/>
              </w:rPr>
              <w:t>55</w:t>
            </w:r>
          </w:p>
        </w:tc>
        <w:tc>
          <w:tcPr>
            <w:tcW w:w="1833" w:type="dxa"/>
          </w:tcPr>
          <w:p w14:paraId="0F3F8116" w14:textId="77777777" w:rsidR="009656F5" w:rsidRDefault="00FA1917">
            <w:pPr>
              <w:pStyle w:val="TableParagraph"/>
            </w:pPr>
            <w:r>
              <w:rPr>
                <w:spacing w:val="-5"/>
              </w:rPr>
              <w:t>66</w:t>
            </w:r>
          </w:p>
        </w:tc>
        <w:tc>
          <w:tcPr>
            <w:tcW w:w="1835" w:type="dxa"/>
          </w:tcPr>
          <w:p w14:paraId="0F3F8117" w14:textId="77777777" w:rsidR="009656F5" w:rsidRDefault="00FA1917">
            <w:pPr>
              <w:pStyle w:val="TableParagraph"/>
              <w:ind w:left="17" w:right="4"/>
            </w:pPr>
            <w:r>
              <w:rPr>
                <w:spacing w:val="-5"/>
              </w:rPr>
              <w:t>10</w:t>
            </w:r>
          </w:p>
        </w:tc>
      </w:tr>
      <w:tr w:rsidR="009656F5" w14:paraId="0F3F811E" w14:textId="77777777">
        <w:trPr>
          <w:trHeight w:val="707"/>
        </w:trPr>
        <w:tc>
          <w:tcPr>
            <w:tcW w:w="1927" w:type="dxa"/>
          </w:tcPr>
          <w:p w14:paraId="0F3F8119" w14:textId="77777777" w:rsidR="009656F5" w:rsidRDefault="00FA1917">
            <w:pPr>
              <w:pStyle w:val="TableParagraph"/>
              <w:spacing w:before="3" w:line="256" w:lineRule="auto"/>
              <w:ind w:left="107" w:right="515"/>
              <w:jc w:val="left"/>
              <w:rPr>
                <w:b/>
              </w:rPr>
            </w:pPr>
            <w:r>
              <w:rPr>
                <w:b/>
                <w:spacing w:val="-2"/>
              </w:rPr>
              <w:t xml:space="preserve">Program's </w:t>
            </w:r>
            <w:r>
              <w:rPr>
                <w:b/>
              </w:rPr>
              <w:t>Overall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Score</w:t>
            </w:r>
          </w:p>
        </w:tc>
        <w:tc>
          <w:tcPr>
            <w:tcW w:w="1833" w:type="dxa"/>
          </w:tcPr>
          <w:p w14:paraId="0F3F811A" w14:textId="77777777" w:rsidR="009656F5" w:rsidRDefault="00FA1917">
            <w:pPr>
              <w:pStyle w:val="TableParagraph"/>
              <w:spacing w:before="137"/>
              <w:ind w:right="3"/>
              <w:rPr>
                <w:b/>
              </w:rPr>
            </w:pPr>
            <w:r>
              <w:rPr>
                <w:b/>
                <w:spacing w:val="-5"/>
              </w:rPr>
              <w:t>NA</w:t>
            </w:r>
          </w:p>
        </w:tc>
        <w:tc>
          <w:tcPr>
            <w:tcW w:w="1835" w:type="dxa"/>
          </w:tcPr>
          <w:p w14:paraId="0F3F811B" w14:textId="77777777" w:rsidR="009656F5" w:rsidRDefault="00FA1917">
            <w:pPr>
              <w:pStyle w:val="TableParagraph"/>
              <w:spacing w:before="137"/>
              <w:ind w:left="17" w:right="8"/>
              <w:rPr>
                <w:b/>
              </w:rPr>
            </w:pPr>
            <w:r>
              <w:rPr>
                <w:b/>
                <w:spacing w:val="-5"/>
              </w:rPr>
              <w:t>28</w:t>
            </w:r>
          </w:p>
        </w:tc>
        <w:tc>
          <w:tcPr>
            <w:tcW w:w="1833" w:type="dxa"/>
          </w:tcPr>
          <w:p w14:paraId="0F3F811C" w14:textId="77777777" w:rsidR="009656F5" w:rsidRDefault="00FA1917">
            <w:pPr>
              <w:pStyle w:val="TableParagraph"/>
              <w:spacing w:before="137"/>
              <w:rPr>
                <w:b/>
              </w:rPr>
            </w:pPr>
            <w:r>
              <w:rPr>
                <w:b/>
                <w:spacing w:val="-5"/>
              </w:rPr>
              <w:t>128</w:t>
            </w:r>
          </w:p>
        </w:tc>
        <w:tc>
          <w:tcPr>
            <w:tcW w:w="1835" w:type="dxa"/>
          </w:tcPr>
          <w:p w14:paraId="0F3F811D" w14:textId="77777777" w:rsidR="009656F5" w:rsidRDefault="00FA1917">
            <w:pPr>
              <w:pStyle w:val="TableParagraph"/>
              <w:spacing w:before="137"/>
              <w:ind w:left="17" w:right="5"/>
              <w:rPr>
                <w:b/>
              </w:rPr>
            </w:pPr>
            <w:r>
              <w:rPr>
                <w:b/>
                <w:spacing w:val="-5"/>
              </w:rPr>
              <w:t>23</w:t>
            </w:r>
          </w:p>
        </w:tc>
      </w:tr>
    </w:tbl>
    <w:p w14:paraId="0F3F811F" w14:textId="77777777" w:rsidR="009656F5" w:rsidRDefault="009656F5">
      <w:pPr>
        <w:pStyle w:val="BodyText"/>
        <w:spacing w:before="183"/>
        <w:ind w:left="0"/>
      </w:pPr>
    </w:p>
    <w:p w14:paraId="0F3F8120" w14:textId="77777777" w:rsidR="009656F5" w:rsidRDefault="00FA1917">
      <w:pPr>
        <w:pStyle w:val="Heading2"/>
        <w:spacing w:before="0"/>
        <w:ind w:left="360"/>
      </w:pPr>
      <w:bookmarkStart w:id="2" w:name="Action_Items_for_Committee_/_OIEA"/>
      <w:bookmarkEnd w:id="2"/>
      <w:r>
        <w:t>Action</w:t>
      </w:r>
      <w:r>
        <w:rPr>
          <w:spacing w:val="-6"/>
        </w:rPr>
        <w:t xml:space="preserve"> </w:t>
      </w:r>
      <w:r>
        <w:t>Items</w:t>
      </w:r>
      <w:r>
        <w:rPr>
          <w:spacing w:val="-5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OIEA</w:t>
      </w:r>
    </w:p>
    <w:p w14:paraId="0F3F8121" w14:textId="77777777" w:rsidR="009656F5" w:rsidRDefault="009656F5">
      <w:pPr>
        <w:pStyle w:val="BodyText"/>
        <w:spacing w:before="7"/>
        <w:ind w:left="0"/>
        <w:rPr>
          <w:b/>
        </w:rPr>
      </w:pPr>
    </w:p>
    <w:p w14:paraId="0F3F8122" w14:textId="77777777" w:rsidR="009656F5" w:rsidRDefault="00FA1917">
      <w:pPr>
        <w:pStyle w:val="BodyText"/>
        <w:spacing w:before="0" w:line="259" w:lineRule="auto"/>
        <w:ind w:left="360" w:right="454"/>
      </w:pPr>
      <w:r>
        <w:t>Looking ahead, the committee identified several action items to guide future work. These include finalizing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implementing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alternate</w:t>
      </w:r>
      <w:r>
        <w:rPr>
          <w:spacing w:val="-4"/>
        </w:rPr>
        <w:t xml:space="preserve"> </w:t>
      </w:r>
      <w:r>
        <w:t>reporting</w:t>
      </w:r>
      <w:r>
        <w:rPr>
          <w:spacing w:val="-5"/>
        </w:rPr>
        <w:t xml:space="preserve"> </w:t>
      </w:r>
      <w:r>
        <w:t>cycle</w:t>
      </w:r>
      <w:r>
        <w:rPr>
          <w:spacing w:val="-2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continuing</w:t>
      </w:r>
      <w:r>
        <w:rPr>
          <w:spacing w:val="-5"/>
        </w:rPr>
        <w:t xml:space="preserve"> </w:t>
      </w:r>
      <w:r>
        <w:t>to refine and conduct</w:t>
      </w:r>
      <w:r>
        <w:rPr>
          <w:spacing w:val="-9"/>
        </w:rPr>
        <w:t xml:space="preserve"> </w:t>
      </w:r>
      <w:r>
        <w:t>Assessment Feedback Meetings, with particular attention to graduate programs.</w:t>
      </w:r>
      <w:r>
        <w:rPr>
          <w:spacing w:val="-2"/>
        </w:rPr>
        <w:t xml:space="preserve"> </w:t>
      </w:r>
      <w:r>
        <w:t>The committee</w:t>
      </w:r>
      <w:r>
        <w:rPr>
          <w:spacing w:val="-2"/>
        </w:rPr>
        <w:t xml:space="preserve"> </w:t>
      </w:r>
      <w:r>
        <w:t>also</w:t>
      </w:r>
      <w:r>
        <w:rPr>
          <w:spacing w:val="-5"/>
        </w:rPr>
        <w:t xml:space="preserve"> </w:t>
      </w:r>
      <w:r>
        <w:t>emphasized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need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develop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formalize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onboarding</w:t>
      </w:r>
      <w:r>
        <w:rPr>
          <w:spacing w:val="-2"/>
        </w:rPr>
        <w:t xml:space="preserve"> </w:t>
      </w:r>
      <w:r>
        <w:t>process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new</w:t>
      </w:r>
      <w:r>
        <w:rPr>
          <w:spacing w:val="-6"/>
        </w:rPr>
        <w:t xml:space="preserve"> </w:t>
      </w:r>
      <w:r>
        <w:t>members, to monitor the implementation of the updated UND</w:t>
      </w:r>
      <w:r>
        <w:rPr>
          <w:spacing w:val="-6"/>
        </w:rPr>
        <w:t xml:space="preserve"> </w:t>
      </w:r>
      <w:r>
        <w:t>Assessment Plan and revise it as needed, and to collaborate with OIEA</w:t>
      </w:r>
      <w:r>
        <w:rPr>
          <w:spacing w:val="-9"/>
        </w:rPr>
        <w:t xml:space="preserve"> </w:t>
      </w:r>
      <w:r>
        <w:t>in the onboarding of the new Senior Specialist of</w:t>
      </w:r>
      <w:r>
        <w:rPr>
          <w:spacing w:val="-3"/>
        </w:rPr>
        <w:t xml:space="preserve"> </w:t>
      </w:r>
      <w:r>
        <w:t>Assessment and</w:t>
      </w:r>
      <w:r>
        <w:rPr>
          <w:spacing w:val="-8"/>
        </w:rPr>
        <w:t xml:space="preserve"> </w:t>
      </w:r>
      <w:r>
        <w:t>Analytics.</w:t>
      </w:r>
    </w:p>
    <w:sectPr w:rsidR="009656F5">
      <w:pgSz w:w="12240" w:h="15840"/>
      <w:pgMar w:top="136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C3498"/>
    <w:multiLevelType w:val="hybridMultilevel"/>
    <w:tmpl w:val="9B467104"/>
    <w:lvl w:ilvl="0" w:tplc="186EB604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D88CFF8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030886B0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7ADCB22A">
      <w:numFmt w:val="bullet"/>
      <w:lvlText w:val="•"/>
      <w:lvlJc w:val="left"/>
      <w:pPr>
        <w:ind w:left="3780" w:hanging="360"/>
      </w:pPr>
      <w:rPr>
        <w:rFonts w:hint="default"/>
        <w:lang w:val="en-US" w:eastAsia="en-US" w:bidi="ar-SA"/>
      </w:rPr>
    </w:lvl>
    <w:lvl w:ilvl="4" w:tplc="6C383D4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5" w:tplc="4F8E8464">
      <w:numFmt w:val="bullet"/>
      <w:lvlText w:val="•"/>
      <w:lvlJc w:val="left"/>
      <w:pPr>
        <w:ind w:left="5580" w:hanging="360"/>
      </w:pPr>
      <w:rPr>
        <w:rFonts w:hint="default"/>
        <w:lang w:val="en-US" w:eastAsia="en-US" w:bidi="ar-SA"/>
      </w:rPr>
    </w:lvl>
    <w:lvl w:ilvl="6" w:tplc="72187032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CC044F36">
      <w:numFmt w:val="bullet"/>
      <w:lvlText w:val="•"/>
      <w:lvlJc w:val="left"/>
      <w:pPr>
        <w:ind w:left="7380" w:hanging="360"/>
      </w:pPr>
      <w:rPr>
        <w:rFonts w:hint="default"/>
        <w:lang w:val="en-US" w:eastAsia="en-US" w:bidi="ar-SA"/>
      </w:rPr>
    </w:lvl>
    <w:lvl w:ilvl="8" w:tplc="5930DF2A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</w:abstractNum>
  <w:num w:numId="1" w16cid:durableId="14693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656F5"/>
    <w:rsid w:val="009656F5"/>
    <w:rsid w:val="00A30623"/>
    <w:rsid w:val="00AF45A7"/>
    <w:rsid w:val="00FA1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F80CA"/>
  <w15:docId w15:val="{BE83E7CE-CE37-4E17-AE77-BAE767A88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9"/>
      <w:ind w:left="1980" w:right="1215" w:firstLine="247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8"/>
      <w:ind w:left="35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1"/>
      <w:ind w:left="1079"/>
    </w:pPr>
  </w:style>
  <w:style w:type="paragraph" w:styleId="ListParagraph">
    <w:name w:val="List Paragraph"/>
    <w:basedOn w:val="Normal"/>
    <w:uiPriority w:val="1"/>
    <w:qFormat/>
    <w:pPr>
      <w:spacing w:before="21"/>
      <w:ind w:left="1079" w:hanging="359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C48EE-3480-4DA9-98A5-36A7EF8C28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80ca090-da8c-4360-a3bc-148c3bd51ef5}" enabled="1" method="Standard" siteId="{ec37a091-b9a6-47e5-98d0-903d4a41920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3545</Characters>
  <Application>Microsoft Office Word</Application>
  <DocSecurity>0</DocSecurity>
  <Lines>29</Lines>
  <Paragraphs>8</Paragraphs>
  <ScaleCrop>false</ScaleCrop>
  <Company>University of North Dakota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Knutson, Karina</dc:creator>
  <dc:description/>
  <cp:lastModifiedBy>Baumbach, Allyssa</cp:lastModifiedBy>
  <cp:revision>2</cp:revision>
  <dcterms:created xsi:type="dcterms:W3CDTF">2026-10-16T14:27:00Z</dcterms:created>
  <dcterms:modified xsi:type="dcterms:W3CDTF">2026-10-16T14:28:00Z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0x010100C45A27E883C6C24C82686FE23C81F4FC</vt:lpwstr>
  </property>
  <property fmtid="{D5CDD505-2E9C-101B-9397-08002B2CF9AE}" pid="3" name="Created">
    <vt:filetime>2026-07-22T00:00:00Z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26.1.187</vt:lpwstr>
  </property>
  <property fmtid="{D5CDD505-2E9C-101B-9397-08002B2CF9AE}" pid="7" name="SourceModified">
    <vt:lpwstr>D:20260722132950</vt:lpwstr>
  </property>
  <property fmtid="{D5CDD505-2E9C-101B-9397-08002B2CF9AE}" pid="8" name="docLang">
    <vt:lpwstr>en</vt:lpwstr>
  </property>
</Properties>
</file>